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ˎ̥" w:eastAsia="黑体"/>
          <w:sz w:val="44"/>
          <w:szCs w:val="44"/>
          <w:lang w:eastAsia="zh-CN"/>
        </w:rPr>
      </w:pPr>
    </w:p>
    <w:p>
      <w:pPr>
        <w:jc w:val="center"/>
        <w:rPr>
          <w:rFonts w:hint="eastAsia" w:ascii="黑体" w:hAnsi="ˎ̥" w:eastAsia="黑体"/>
          <w:sz w:val="44"/>
          <w:szCs w:val="44"/>
          <w:lang w:eastAsia="zh-CN"/>
        </w:rPr>
      </w:pPr>
    </w:p>
    <w:p>
      <w:pPr>
        <w:jc w:val="center"/>
        <w:rPr>
          <w:rFonts w:hint="eastAsia" w:ascii="黑体" w:hAnsi="ˎ̥" w:eastAsia="黑体"/>
          <w:sz w:val="44"/>
          <w:szCs w:val="44"/>
        </w:rPr>
      </w:pPr>
      <w:r>
        <w:rPr>
          <w:rFonts w:hint="eastAsia" w:ascii="黑体" w:hAnsi="ˎ̥" w:eastAsia="黑体"/>
          <w:sz w:val="44"/>
          <w:szCs w:val="44"/>
          <w:lang w:eastAsia="zh-CN"/>
        </w:rPr>
        <w:t>三亚市路灯管理所202</w:t>
      </w:r>
      <w:r>
        <w:rPr>
          <w:rFonts w:hint="eastAsia" w:ascii="黑体" w:hAnsi="ˎ̥" w:eastAsia="黑体"/>
          <w:sz w:val="44"/>
          <w:szCs w:val="44"/>
          <w:lang w:val="en-US" w:eastAsia="zh-CN"/>
        </w:rPr>
        <w:t>1</w:t>
      </w:r>
      <w:r>
        <w:rPr>
          <w:rFonts w:hint="eastAsia" w:ascii="黑体" w:hAnsi="ˎ̥" w:eastAsia="黑体"/>
          <w:sz w:val="44"/>
          <w:szCs w:val="44"/>
          <w:lang w:eastAsia="zh-CN"/>
        </w:rPr>
        <w:t>年度</w:t>
      </w:r>
      <w:r>
        <w:rPr>
          <w:rFonts w:hint="eastAsia" w:ascii="黑体" w:hAnsi="ˎ̥" w:eastAsia="黑体"/>
          <w:sz w:val="44"/>
          <w:szCs w:val="44"/>
        </w:rPr>
        <w:t>决算</w:t>
      </w:r>
    </w:p>
    <w:p>
      <w:pPr>
        <w:jc w:val="center"/>
        <w:rPr>
          <w:rFonts w:hint="eastAsia" w:ascii="黑体" w:hAnsi="ˎ̥" w:eastAsia="黑体"/>
          <w:b/>
          <w:sz w:val="32"/>
          <w:szCs w:val="32"/>
        </w:rPr>
      </w:pP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三亚市路灯管理所概况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部门职责</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三亚市路灯管理所</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公开表</w:t>
      </w:r>
      <w:r>
        <w:rPr>
          <w:b w:val="0"/>
          <w:bCs w:val="0"/>
          <w:sz w:val="32"/>
          <w:szCs w:val="32"/>
        </w:rPr>
        <w:tab/>
      </w:r>
      <w:r>
        <w:rPr>
          <w:rFonts w:hint="eastAsia"/>
          <w:b w:val="0"/>
          <w:bCs w:val="0"/>
          <w:sz w:val="32"/>
          <w:szCs w:val="32"/>
          <w:lang w:val="en-US" w:eastAsia="zh-CN"/>
        </w:rPr>
        <w:t>4</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七、</w:t>
      </w:r>
      <w:r>
        <w:rPr>
          <w:rFonts w:hint="eastAsia" w:ascii="仿宋" w:hAnsi="仿宋" w:eastAsia="仿宋" w:cs="仿宋"/>
          <w:sz w:val="32"/>
          <w:szCs w:val="32"/>
        </w:rPr>
        <w:t>政府性基金预算财政拨款收入支出决算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八、国有资本经营</w:t>
      </w:r>
      <w:r>
        <w:rPr>
          <w:rFonts w:hint="eastAsia" w:ascii="仿宋" w:hAnsi="仿宋" w:eastAsia="仿宋" w:cs="仿宋"/>
          <w:sz w:val="32"/>
          <w:szCs w:val="32"/>
        </w:rPr>
        <w:t>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一般公共预算财政拨款“三公”经费支出决算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十、政府性基金</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5</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十一、国有资本经营</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b w:val="0"/>
          <w:bCs w:val="0"/>
          <w:sz w:val="32"/>
          <w:szCs w:val="32"/>
          <w:lang w:val="en-US" w:eastAsia="zh-CN"/>
        </w:rPr>
        <w:t>三亚市路灯管理所</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决算情况说明</w:t>
      </w:r>
      <w:r>
        <w:rPr>
          <w:b w:val="0"/>
          <w:bCs w:val="0"/>
          <w:sz w:val="32"/>
          <w:szCs w:val="32"/>
        </w:rPr>
        <w:tab/>
      </w:r>
      <w:r>
        <w:rPr>
          <w:rFonts w:hint="eastAsia"/>
          <w:b w:val="0"/>
          <w:bCs w:val="0"/>
          <w:sz w:val="32"/>
          <w:szCs w:val="32"/>
          <w:lang w:val="en-US" w:eastAsia="zh-CN"/>
        </w:rPr>
        <w:t>5</w:t>
      </w:r>
      <w:r>
        <w:rPr>
          <w:b w:val="0"/>
          <w:bCs w:val="0"/>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7</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7</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r>
        <w:rPr>
          <w:rFonts w:hint="eastAsia" w:ascii="仿宋" w:hAnsi="仿宋" w:eastAsia="仿宋" w:cs="仿宋"/>
          <w:sz w:val="32"/>
          <w:szCs w:val="32"/>
        </w:rPr>
        <w:fldChar w:fldCharType="end"/>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12</w:t>
      </w:r>
    </w:p>
    <w:p>
      <w:pPr>
        <w:pStyle w:val="8"/>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12</w:t>
      </w:r>
    </w:p>
    <w:p>
      <w:pPr>
        <w:pStyle w:val="8"/>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国有资本经营</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13</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rPr>
        <w:t>一般公共预算财政拨款“三公”经费支出决算情况说明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13</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十、</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14</w:t>
      </w:r>
    </w:p>
    <w:p>
      <w:pPr>
        <w:rPr>
          <w:rFonts w:hint="eastAsia" w:ascii="仿宋" w:hAnsi="仿宋" w:eastAsia="仿宋" w:cs="仿宋"/>
          <w:w w:val="91"/>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w w:val="91"/>
          <w:sz w:val="32"/>
          <w:szCs w:val="32"/>
          <w:lang w:eastAsia="zh-CN"/>
        </w:rPr>
        <w:t>十一、国有资本经营</w:t>
      </w:r>
      <w:r>
        <w:rPr>
          <w:rFonts w:hint="eastAsia" w:ascii="仿宋" w:hAnsi="仿宋" w:eastAsia="仿宋" w:cs="仿宋"/>
          <w:b w:val="0"/>
          <w:bCs/>
          <w:w w:val="91"/>
          <w:sz w:val="32"/>
          <w:szCs w:val="32"/>
        </w:rPr>
        <w:t>预算财政拨款“三公”经费支出决算情况说明</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14</w:t>
      </w:r>
    </w:p>
    <w:p>
      <w:pPr>
        <w:pStyle w:val="8"/>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14</w:t>
      </w:r>
    </w:p>
    <w:p>
      <w:pPr>
        <w:pStyle w:val="8"/>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十三</w:t>
      </w:r>
      <w:r>
        <w:rPr>
          <w:rFonts w:hint="eastAsia" w:ascii="仿宋" w:hAnsi="仿宋" w:eastAsia="仿宋" w:cs="仿宋"/>
          <w:b w:val="0"/>
          <w:bCs/>
          <w:color w:val="auto"/>
          <w:sz w:val="32"/>
          <w:szCs w:val="32"/>
          <w:u w:val="none"/>
          <w:lang w:eastAsia="zh-CN"/>
        </w:rPr>
        <w:t>、</w:t>
      </w:r>
      <w:r>
        <w:rPr>
          <w:rFonts w:hint="eastAsia" w:ascii="仿宋" w:hAnsi="仿宋" w:eastAsia="仿宋" w:cs="仿宋"/>
          <w:b w:val="0"/>
          <w:bCs/>
          <w:color w:val="auto"/>
          <w:sz w:val="32"/>
          <w:szCs w:val="32"/>
          <w:u w:val="none"/>
        </w:rPr>
        <w:t>其他重要事项情况说明</w:t>
      </w:r>
      <w:r>
        <w:rPr>
          <w:rFonts w:hint="eastAsia" w:ascii="仿宋" w:hAnsi="仿宋" w:eastAsia="仿宋" w:cs="仿宋"/>
          <w:color w:val="auto"/>
          <w:sz w:val="32"/>
          <w:szCs w:val="32"/>
          <w:u w:val="none"/>
        </w:rPr>
        <w:tab/>
      </w:r>
      <w:r>
        <w:rPr>
          <w:rFonts w:hint="eastAsia" w:ascii="仿宋" w:hAnsi="仿宋" w:eastAsia="仿宋" w:cs="仿宋"/>
          <w:color w:val="auto"/>
          <w:sz w:val="32"/>
          <w:szCs w:val="32"/>
          <w:u w:val="none"/>
          <w:lang w:val="en-US" w:eastAsia="zh-CN"/>
        </w:rPr>
        <w:t>16</w:t>
      </w:r>
    </w:p>
    <w:p>
      <w:pPr>
        <w:pStyle w:val="7"/>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_Toc15425_WPSOffice_Level1 </w:instrText>
      </w:r>
      <w:r>
        <w:rPr>
          <w:b w:val="0"/>
          <w:bCs w:val="0"/>
          <w:sz w:val="32"/>
          <w:szCs w:val="32"/>
        </w:rPr>
        <w:fldChar w:fldCharType="separate"/>
      </w:r>
      <w:r>
        <w:rPr>
          <w:rFonts w:hint="eastAsia" w:ascii="黑体" w:hAnsi="ˎ̥" w:eastAsia="黑体"/>
          <w:b w:val="0"/>
          <w:bCs w:val="0"/>
          <w:sz w:val="32"/>
          <w:szCs w:val="32"/>
          <w:lang w:eastAsia="zh-CN"/>
        </w:rPr>
        <w:t>第四部分</w:t>
      </w:r>
      <w:r>
        <w:rPr>
          <w:rFonts w:hint="eastAsia" w:ascii="黑体" w:hAnsi="ˎ̥" w:eastAsia="黑体"/>
          <w:b w:val="0"/>
          <w:bCs w:val="0"/>
          <w:sz w:val="32"/>
          <w:szCs w:val="32"/>
          <w:lang w:val="en-US" w:eastAsia="zh-CN"/>
        </w:rPr>
        <w:t xml:space="preserve">  </w:t>
      </w:r>
      <w:r>
        <w:rPr>
          <w:rFonts w:hint="eastAsia" w:ascii="黑体" w:hAnsi="ˎ̥" w:eastAsia="黑体"/>
          <w:b w:val="0"/>
          <w:bCs w:val="0"/>
          <w:sz w:val="32"/>
          <w:szCs w:val="32"/>
        </w:rPr>
        <w:t>名词解释</w:t>
      </w:r>
      <w:r>
        <w:rPr>
          <w:b w:val="0"/>
          <w:bCs w:val="0"/>
          <w:sz w:val="32"/>
          <w:szCs w:val="32"/>
        </w:rPr>
        <w:tab/>
      </w:r>
      <w:bookmarkStart w:id="1" w:name="_Toc15425_WPSOffice_Level1Page"/>
      <w:r>
        <w:rPr>
          <w:b w:val="0"/>
          <w:bCs w:val="0"/>
          <w:sz w:val="32"/>
          <w:szCs w:val="32"/>
        </w:rPr>
        <w:t>1</w:t>
      </w:r>
      <w:bookmarkEnd w:id="1"/>
      <w:r>
        <w:rPr>
          <w:b w:val="0"/>
          <w:bCs w:val="0"/>
          <w:sz w:val="32"/>
          <w:szCs w:val="32"/>
        </w:rPr>
        <w:fldChar w:fldCharType="end"/>
      </w:r>
      <w:bookmarkEnd w:id="0"/>
      <w:r>
        <w:rPr>
          <w:rFonts w:hint="eastAsia"/>
          <w:b w:val="0"/>
          <w:bCs w:val="0"/>
          <w:sz w:val="32"/>
          <w:szCs w:val="32"/>
          <w:lang w:val="en-US" w:eastAsia="zh-CN"/>
        </w:rPr>
        <w:t>7</w:t>
      </w:r>
    </w:p>
    <w:p>
      <w:pPr>
        <w:jc w:val="left"/>
        <w:rPr>
          <w:rFonts w:hint="eastAsia" w:ascii="黑体" w:hAnsi="黑体" w:eastAsia="黑体" w:cs="黑体"/>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sz w:val="32"/>
          <w:szCs w:val="32"/>
          <w:lang w:eastAsia="zh-CN"/>
        </w:rPr>
      </w:pPr>
      <w:bookmarkStart w:id="2" w:name="_Toc1704_WPSOffice_Level1"/>
      <w:bookmarkStart w:id="3" w:name="_Toc32433_WPSOffice_Level1"/>
      <w:bookmarkStart w:id="4" w:name="_Toc22941_WPSOffice_Level1"/>
      <w:bookmarkStart w:id="5" w:name="_Toc10049_WPSOffice_Level1"/>
      <w:bookmarkStart w:id="6" w:name="_Toc10720_WPSOffice_Level1"/>
      <w:bookmarkStart w:id="7" w:name="_Toc23465_WPSOffice_Level1"/>
      <w:bookmarkStart w:id="8" w:name="_Toc24238_WPSOffice_Level2"/>
      <w:bookmarkStart w:id="9" w:name="_Toc20274_WPSOffice_Level2"/>
      <w:bookmarkStart w:id="10" w:name="_Toc26580_WPSOffice_Level2"/>
      <w:bookmarkStart w:id="11" w:name="_Toc20205_WPSOffice_Level2"/>
      <w:bookmarkStart w:id="12" w:name="_Toc14159_WPSOffice_Level2"/>
      <w:bookmarkStart w:id="13" w:name="_Toc32622_WPSOffice_Level2"/>
    </w:p>
    <w:p>
      <w:pPr>
        <w:jc w:val="both"/>
        <w:rPr>
          <w:rFonts w:hint="eastAsia" w:ascii="黑体" w:hAnsi="ˎ̥" w:eastAsia="黑体"/>
          <w:sz w:val="32"/>
          <w:szCs w:val="32"/>
          <w:lang w:eastAsia="zh-CN"/>
        </w:rPr>
      </w:pPr>
    </w:p>
    <w:p>
      <w:pPr>
        <w:jc w:val="both"/>
        <w:rPr>
          <w:rFonts w:hint="eastAsia" w:ascii="黑体" w:hAnsi="ˎ̥" w:eastAsia="黑体"/>
          <w:sz w:val="32"/>
          <w:szCs w:val="32"/>
          <w:lang w:eastAsia="zh-CN"/>
        </w:rPr>
      </w:pPr>
    </w:p>
    <w:p>
      <w:pPr>
        <w:jc w:val="center"/>
        <w:rPr>
          <w:rFonts w:hint="eastAsia" w:ascii="黑体" w:hAnsi="ˎ̥" w:eastAsia="黑体"/>
          <w:sz w:val="32"/>
          <w:szCs w:val="32"/>
        </w:rPr>
      </w:pPr>
      <w:r>
        <w:rPr>
          <w:rFonts w:hint="eastAsia" w:ascii="黑体" w:hAnsi="ˎ̥" w:eastAsia="黑体"/>
          <w:sz w:val="32"/>
          <w:szCs w:val="32"/>
          <w:lang w:eastAsia="zh-CN"/>
        </w:rPr>
        <w:t>第一部分</w:t>
      </w:r>
      <w:r>
        <w:rPr>
          <w:rFonts w:hint="eastAsia" w:ascii="黑体" w:hAnsi="ˎ̥" w:eastAsia="黑体"/>
          <w:sz w:val="32"/>
          <w:szCs w:val="32"/>
          <w:lang w:val="en-US" w:eastAsia="zh-CN"/>
        </w:rPr>
        <w:t xml:space="preserve">  </w:t>
      </w:r>
      <w:r>
        <w:rPr>
          <w:rFonts w:hint="eastAsia" w:ascii="黑体" w:hAnsi="ˎ̥" w:eastAsia="黑体"/>
          <w:b w:val="0"/>
          <w:bCs w:val="0"/>
          <w:sz w:val="32"/>
          <w:szCs w:val="32"/>
          <w:lang w:val="en-US" w:eastAsia="zh-CN"/>
        </w:rPr>
        <w:t>三亚市路灯管理所</w:t>
      </w:r>
      <w:r>
        <w:rPr>
          <w:rFonts w:hint="eastAsia" w:ascii="黑体" w:hAnsi="ˎ̥" w:eastAsia="黑体"/>
          <w:sz w:val="32"/>
          <w:szCs w:val="32"/>
        </w:rPr>
        <w:t>概况</w:t>
      </w:r>
      <w:bookmarkEnd w:id="2"/>
      <w:bookmarkEnd w:id="3"/>
      <w:bookmarkEnd w:id="4"/>
      <w:bookmarkEnd w:id="5"/>
      <w:bookmarkEnd w:id="6"/>
      <w:bookmarkEnd w:id="7"/>
    </w:p>
    <w:p>
      <w:pPr>
        <w:ind w:firstLine="640" w:firstLineChars="200"/>
        <w:rPr>
          <w:rFonts w:hint="eastAsia" w:ascii="楷体" w:hAnsi="楷体" w:eastAsia="楷体" w:cs="楷体"/>
          <w:sz w:val="32"/>
          <w:szCs w:val="32"/>
          <w:lang w:eastAsia="zh-CN"/>
        </w:rPr>
      </w:pPr>
    </w:p>
    <w:bookmarkEnd w:id="8"/>
    <w:p>
      <w:pPr>
        <w:numPr>
          <w:ilvl w:val="0"/>
          <w:numId w:val="2"/>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职责</w:t>
      </w:r>
      <w:bookmarkEnd w:id="9"/>
      <w:bookmarkEnd w:id="10"/>
      <w:bookmarkEnd w:id="11"/>
      <w:bookmarkEnd w:id="12"/>
      <w:bookmarkEnd w:id="13"/>
    </w:p>
    <w:p>
      <w:pPr>
        <w:pStyle w:val="9"/>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0"/>
        <w:jc w:val="left"/>
        <w:textAlignment w:val="auto"/>
        <w:outlineLvl w:val="9"/>
        <w:rPr>
          <w:rFonts w:hint="eastAsia" w:ascii="Times New Roman" w:eastAsia="仿宋_GB2312"/>
          <w:sz w:val="32"/>
        </w:rPr>
      </w:pPr>
      <w:r>
        <w:rPr>
          <w:rFonts w:hint="eastAsia" w:ascii="Times New Roman" w:eastAsia="仿宋_GB2312"/>
          <w:sz w:val="32"/>
        </w:rPr>
        <w:t>三亚市路灯管理所隶属三亚市住房和城乡建设局，</w:t>
      </w:r>
      <w:r>
        <w:rPr>
          <w:rFonts w:hint="eastAsia" w:ascii="Times New Roman" w:eastAsia="仿宋_GB2312"/>
          <w:sz w:val="32"/>
          <w:lang w:eastAsia="zh-CN"/>
        </w:rPr>
        <w:t>为正科级事业单位。</w:t>
      </w:r>
      <w:r>
        <w:rPr>
          <w:rFonts w:hint="eastAsia" w:ascii="Times New Roman" w:eastAsia="仿宋_GB2312"/>
          <w:sz w:val="32"/>
        </w:rPr>
        <w:t>管理全市市政道路的路灯</w:t>
      </w:r>
      <w:r>
        <w:rPr>
          <w:rFonts w:hint="eastAsia" w:ascii="Times New Roman" w:eastAsia="仿宋_GB2312"/>
          <w:sz w:val="32"/>
          <w:lang w:eastAsia="zh-CN"/>
        </w:rPr>
        <w:t>照明</w:t>
      </w:r>
      <w:r>
        <w:rPr>
          <w:rFonts w:hint="eastAsia" w:ascii="仿宋" w:hAnsi="仿宋" w:eastAsia="仿宋" w:cs="仿宋"/>
          <w:spacing w:val="20"/>
          <w:sz w:val="32"/>
          <w:szCs w:val="32"/>
          <w:lang w:val="en-US" w:eastAsia="zh-CN"/>
        </w:rPr>
        <w:t>盏数共</w:t>
      </w:r>
      <w:r>
        <w:rPr>
          <w:rFonts w:hint="eastAsia" w:ascii="Times New Roman" w:eastAsia="仿宋_GB2312"/>
          <w:color w:val="auto"/>
          <w:sz w:val="32"/>
          <w:lang w:val="en-US"/>
        </w:rPr>
        <w:t>38109</w:t>
      </w:r>
      <w:r>
        <w:rPr>
          <w:rFonts w:hint="eastAsia" w:ascii="仿宋" w:hAnsi="仿宋" w:eastAsia="仿宋" w:cs="仿宋"/>
          <w:spacing w:val="20"/>
          <w:sz w:val="32"/>
          <w:szCs w:val="32"/>
          <w:lang w:val="en-US" w:eastAsia="zh-CN"/>
        </w:rPr>
        <w:t>盏。</w:t>
      </w:r>
      <w:r>
        <w:rPr>
          <w:rFonts w:hint="eastAsia" w:ascii="Times New Roman" w:eastAsia="仿宋_GB2312"/>
          <w:sz w:val="32"/>
        </w:rPr>
        <w:t>管护范围涵盖主城区道路主、次干道及背街小巷路灯。维护内容：灯杆、灯具、灯臂、灯杆门、护套线、开关、灯杆标识牌、灯杆基座、路灯检查井、地下电缆等照明设施。管理范围由主城区路段延伸，东至大茅路、西至西线高速公路入口、海棠湾等区域，往返路程约</w:t>
      </w:r>
      <w:r>
        <w:rPr>
          <w:rFonts w:hint="default" w:ascii="Times New Roman" w:eastAsia="仿宋_GB2312"/>
          <w:sz w:val="32"/>
        </w:rPr>
        <w:t>720</w:t>
      </w:r>
      <w:r>
        <w:rPr>
          <w:rFonts w:hint="eastAsia" w:ascii="Times New Roman" w:eastAsia="仿宋_GB2312"/>
          <w:sz w:val="32"/>
        </w:rPr>
        <w:t>公里。主要</w:t>
      </w:r>
      <w:r>
        <w:rPr>
          <w:rFonts w:hint="eastAsia" w:ascii="Times New Roman" w:eastAsia="仿宋_GB2312"/>
          <w:sz w:val="32"/>
          <w:lang w:eastAsia="zh-CN"/>
        </w:rPr>
        <w:t>工作任务有以下：</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640" w:firstLineChars="0"/>
        <w:jc w:val="left"/>
        <w:textAlignment w:val="auto"/>
        <w:outlineLvl w:val="9"/>
        <w:rPr>
          <w:rFonts w:hint="eastAsia" w:ascii="Times New Roman" w:eastAsia="仿宋_GB2312"/>
          <w:sz w:val="32"/>
          <w:lang w:eastAsia="zh-CN"/>
        </w:rPr>
      </w:pPr>
      <w:r>
        <w:rPr>
          <w:rFonts w:hint="eastAsia" w:ascii="Times New Roman" w:eastAsia="仿宋_GB2312"/>
          <w:sz w:val="32"/>
          <w:lang w:eastAsia="zh-CN"/>
        </w:rPr>
        <w:t>负责实施城市道路照明设施规划和工程计划；</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640" w:firstLineChars="0"/>
        <w:jc w:val="left"/>
        <w:textAlignment w:val="auto"/>
        <w:outlineLvl w:val="9"/>
        <w:rPr>
          <w:rFonts w:hint="eastAsia" w:ascii="Times New Roman" w:eastAsia="仿宋_GB2312"/>
          <w:sz w:val="32"/>
          <w:lang w:eastAsia="zh-CN"/>
        </w:rPr>
      </w:pPr>
      <w:r>
        <w:rPr>
          <w:rFonts w:hint="eastAsia" w:ascii="Times New Roman" w:eastAsia="仿宋_GB2312"/>
          <w:sz w:val="32"/>
          <w:lang w:eastAsia="zh-CN"/>
        </w:rPr>
        <w:t>认真执行路灯管理的各项规章制度，保证城市道路照明设备的完好、正常运行，及时更换和修复破损的照明设施；</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640" w:firstLineChars="0"/>
        <w:jc w:val="left"/>
        <w:textAlignment w:val="auto"/>
        <w:outlineLvl w:val="9"/>
        <w:rPr>
          <w:rFonts w:hint="eastAsia" w:ascii="Times New Roman" w:eastAsia="仿宋_GB2312"/>
          <w:sz w:val="32"/>
          <w:lang w:eastAsia="zh-CN"/>
        </w:rPr>
      </w:pPr>
      <w:r>
        <w:rPr>
          <w:rFonts w:hint="eastAsia" w:ascii="Times New Roman" w:eastAsia="仿宋_GB2312"/>
          <w:sz w:val="32"/>
          <w:lang w:eastAsia="zh-CN"/>
        </w:rPr>
        <w:t>负责迁移或拆除城市道路照明设施或影响其安全运行的地上、地下施工；</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640" w:firstLineChars="0"/>
        <w:jc w:val="left"/>
        <w:textAlignment w:val="auto"/>
        <w:outlineLvl w:val="9"/>
        <w:rPr>
          <w:rFonts w:hint="eastAsia" w:ascii="Times New Roman" w:eastAsia="仿宋_GB2312"/>
          <w:sz w:val="32"/>
          <w:lang w:eastAsia="zh-CN"/>
        </w:rPr>
      </w:pPr>
      <w:r>
        <w:rPr>
          <w:rFonts w:hint="eastAsia" w:ascii="Times New Roman" w:eastAsia="仿宋_GB2312"/>
          <w:sz w:val="32"/>
          <w:lang w:eastAsia="zh-CN"/>
        </w:rPr>
        <w:t>负责剪修危及城市道路照明设施安全运行的树木树枝。</w:t>
      </w:r>
    </w:p>
    <w:p>
      <w:pPr>
        <w:numPr>
          <w:ilvl w:val="0"/>
          <w:numId w:val="0"/>
        </w:numPr>
        <w:rPr>
          <w:rFonts w:hint="eastAsia" w:ascii="黑体" w:hAnsi="黑体" w:eastAsia="黑体" w:cs="黑体"/>
          <w:sz w:val="32"/>
          <w:szCs w:val="32"/>
          <w:lang w:val="en-US" w:eastAsia="zh-CN"/>
        </w:rPr>
      </w:pPr>
    </w:p>
    <w:p>
      <w:pPr>
        <w:numPr>
          <w:ilvl w:val="0"/>
          <w:numId w:val="0"/>
        </w:numPr>
        <w:rPr>
          <w:rFonts w:hint="eastAsia" w:ascii="黑体" w:hAnsi="黑体" w:eastAsia="黑体" w:cs="黑体"/>
          <w:sz w:val="32"/>
          <w:szCs w:val="32"/>
          <w:lang w:val="en-US" w:eastAsia="zh-CN"/>
        </w:rPr>
      </w:pPr>
    </w:p>
    <w:p>
      <w:pPr>
        <w:ind w:firstLine="640" w:firstLineChars="200"/>
        <w:rPr>
          <w:rFonts w:hint="eastAsia" w:ascii="黑体" w:hAnsi="黑体" w:eastAsia="黑体" w:cs="黑体"/>
          <w:sz w:val="32"/>
          <w:szCs w:val="32"/>
          <w:lang w:val="en-US" w:eastAsia="zh-CN"/>
        </w:rPr>
      </w:pPr>
      <w:bookmarkStart w:id="14" w:name="_Toc24474_WPSOffice_Level2"/>
      <w:bookmarkStart w:id="15" w:name="_Toc6572_WPSOffice_Level2"/>
      <w:bookmarkStart w:id="16" w:name="_Toc17796_WPSOffice_Level2"/>
      <w:bookmarkStart w:id="17" w:name="_Toc4833_WPSOffice_Level2"/>
      <w:bookmarkStart w:id="18" w:name="_Toc24059_WPSOffice_Level2"/>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机构设置</w:t>
      </w:r>
      <w:bookmarkEnd w:id="14"/>
      <w:bookmarkEnd w:id="15"/>
      <w:bookmarkEnd w:id="16"/>
      <w:bookmarkEnd w:id="17"/>
      <w:bookmarkEnd w:id="18"/>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纳入</w:t>
      </w:r>
      <w:r>
        <w:rPr>
          <w:rFonts w:hint="eastAsia" w:ascii="仿宋_GB2312" w:hAnsi="ˎ̥" w:eastAsia="仿宋_GB2312"/>
          <w:sz w:val="32"/>
          <w:szCs w:val="32"/>
          <w:lang w:eastAsia="zh-CN"/>
        </w:rPr>
        <w:t>三亚市路灯管理所202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决算编制范围的</w:t>
      </w:r>
      <w:r>
        <w:rPr>
          <w:rFonts w:hint="eastAsia" w:ascii="仿宋_GB2312" w:hAnsi="ˎ̥" w:eastAsia="仿宋_GB2312"/>
          <w:sz w:val="32"/>
          <w:szCs w:val="32"/>
          <w:lang w:eastAsia="zh-CN"/>
        </w:rPr>
        <w:t>部门有：</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工会</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办公室</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财务部</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采购部</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巡查队</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监控中心</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景观灯照明部</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吉阳区道路照明部</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天涯区道路照明部</w:t>
      </w:r>
    </w:p>
    <w:p>
      <w:pPr>
        <w:jc w:val="center"/>
        <w:rPr>
          <w:rFonts w:hint="eastAsia" w:ascii="黑体" w:hAnsi="ˎ̥" w:eastAsia="黑体"/>
          <w:b w:val="0"/>
          <w:bCs w:val="0"/>
          <w:sz w:val="32"/>
          <w:szCs w:val="32"/>
        </w:rPr>
      </w:pPr>
      <w:bookmarkStart w:id="19" w:name="_Toc15521_WPSOffice_Level1"/>
      <w:bookmarkStart w:id="20" w:name="_Toc6234_WPSOffice_Level1"/>
      <w:bookmarkStart w:id="21" w:name="_Toc28253_WPSOffice_Level1"/>
      <w:bookmarkStart w:id="22" w:name="_Toc30451_WPSOffice_Level1"/>
      <w:bookmarkStart w:id="23" w:name="_Toc30690_WPSOffice_Level1"/>
      <w:bookmarkStart w:id="24" w:name="_Toc8164_WPSOffice_Level1"/>
      <w:bookmarkStart w:id="25" w:name="_Toc6211_WPSOffice_Level2"/>
      <w:bookmarkStart w:id="26" w:name="_Toc8867_WPSOffice_Level2"/>
      <w:bookmarkStart w:id="27" w:name="_Toc32695_WPSOffice_Level2"/>
      <w:bookmarkStart w:id="28" w:name="_Toc32472_WPSOffice_Level2"/>
      <w:bookmarkStart w:id="29" w:name="_Toc11518_WPSOffice_Level2"/>
      <w:bookmarkStart w:id="30" w:name="_Toc4029_WPSOffice_Level2"/>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三亚市路灯管理所</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w:t>
      </w:r>
      <w:r>
        <w:rPr>
          <w:rFonts w:hint="eastAsia" w:ascii="黑体" w:hAnsi="ˎ̥" w:eastAsia="黑体"/>
          <w:b w:val="0"/>
          <w:bCs w:val="0"/>
          <w:sz w:val="32"/>
          <w:szCs w:val="32"/>
        </w:rPr>
        <w:t>报表</w:t>
      </w:r>
      <w:bookmarkEnd w:id="19"/>
      <w:bookmarkEnd w:id="20"/>
      <w:bookmarkEnd w:id="21"/>
      <w:bookmarkEnd w:id="22"/>
      <w:bookmarkEnd w:id="23"/>
      <w:bookmarkEnd w:id="24"/>
    </w:p>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收入支出决算</w:t>
      </w:r>
      <w:r>
        <w:rPr>
          <w:rFonts w:hint="eastAsia" w:ascii="黑体" w:hAnsi="黑体" w:eastAsia="黑体" w:cs="黑体"/>
          <w:sz w:val="32"/>
          <w:szCs w:val="32"/>
          <w:lang w:eastAsia="zh-CN"/>
        </w:rPr>
        <w:t>公开表（见正文附件）</w:t>
      </w:r>
      <w:bookmarkEnd w:id="25"/>
      <w:bookmarkEnd w:id="26"/>
      <w:bookmarkEnd w:id="27"/>
      <w:r>
        <w:rPr>
          <w:rFonts w:hint="eastAsia" w:ascii="黑体" w:hAnsi="黑体" w:eastAsia="黑体" w:cs="黑体"/>
          <w:sz w:val="32"/>
          <w:szCs w:val="32"/>
          <w:lang w:eastAsia="zh-CN"/>
        </w:rPr>
        <w:t>。</w:t>
      </w:r>
      <w:bookmarkEnd w:id="28"/>
      <w:bookmarkEnd w:id="29"/>
      <w:bookmarkEnd w:id="30"/>
    </w:p>
    <w:p>
      <w:pPr>
        <w:ind w:firstLine="645"/>
        <w:rPr>
          <w:rFonts w:hint="eastAsia" w:ascii="黑体" w:hAnsi="黑体" w:eastAsia="黑体" w:cs="黑体"/>
          <w:sz w:val="32"/>
          <w:szCs w:val="32"/>
          <w:lang w:eastAsia="zh-CN"/>
        </w:rPr>
      </w:pPr>
      <w:bookmarkStart w:id="31" w:name="_Toc26621_WPSOffice_Level2"/>
      <w:bookmarkStart w:id="32" w:name="_Toc25608_WPSOffice_Level2"/>
      <w:bookmarkStart w:id="33" w:name="_Toc23139_WPSOffice_Level2"/>
      <w:bookmarkStart w:id="34" w:name="_Toc30334_WPSOffice_Level2"/>
      <w:bookmarkStart w:id="35" w:name="_Toc14349_WPSOffice_Level2"/>
      <w:bookmarkStart w:id="36" w:name="_Toc28622_WPSOffice_Level2"/>
      <w:r>
        <w:rPr>
          <w:rFonts w:hint="eastAsia" w:ascii="黑体" w:hAnsi="黑体" w:eastAsia="黑体" w:cs="黑体"/>
          <w:sz w:val="32"/>
          <w:szCs w:val="32"/>
          <w:lang w:val="en-US" w:eastAsia="zh-CN"/>
        </w:rPr>
        <w:t>二、</w:t>
      </w:r>
      <w:r>
        <w:rPr>
          <w:rFonts w:hint="eastAsia" w:ascii="黑体" w:hAnsi="黑体" w:eastAsia="黑体" w:cs="黑体"/>
          <w:sz w:val="32"/>
          <w:szCs w:val="32"/>
        </w:rPr>
        <w:t>收入决算</w:t>
      </w:r>
      <w:r>
        <w:rPr>
          <w:rFonts w:hint="eastAsia" w:ascii="黑体" w:hAnsi="黑体" w:eastAsia="黑体" w:cs="黑体"/>
          <w:sz w:val="32"/>
          <w:szCs w:val="32"/>
          <w:lang w:eastAsia="zh-CN"/>
        </w:rPr>
        <w:t>公开表（见正文附件）</w:t>
      </w:r>
      <w:bookmarkEnd w:id="31"/>
      <w:bookmarkEnd w:id="32"/>
      <w:bookmarkEnd w:id="33"/>
      <w:r>
        <w:rPr>
          <w:rFonts w:hint="eastAsia" w:ascii="黑体" w:hAnsi="黑体" w:eastAsia="黑体" w:cs="黑体"/>
          <w:sz w:val="32"/>
          <w:szCs w:val="32"/>
          <w:lang w:eastAsia="zh-CN"/>
        </w:rPr>
        <w:t>。</w:t>
      </w:r>
      <w:bookmarkEnd w:id="34"/>
      <w:bookmarkEnd w:id="35"/>
      <w:bookmarkEnd w:id="36"/>
    </w:p>
    <w:p>
      <w:pPr>
        <w:ind w:firstLine="645"/>
        <w:rPr>
          <w:rFonts w:hint="eastAsia" w:ascii="黑体" w:hAnsi="黑体" w:eastAsia="黑体" w:cs="黑体"/>
          <w:sz w:val="32"/>
          <w:szCs w:val="32"/>
          <w:lang w:eastAsia="zh-CN"/>
        </w:rPr>
      </w:pPr>
      <w:bookmarkStart w:id="37" w:name="_Toc17858_WPSOffice_Level2"/>
      <w:bookmarkStart w:id="38" w:name="_Toc3262_WPSOffice_Level2"/>
      <w:bookmarkStart w:id="39" w:name="_Toc17626_WPSOffice_Level2"/>
      <w:bookmarkStart w:id="40" w:name="_Toc5489_WPSOffice_Level2"/>
      <w:bookmarkStart w:id="41" w:name="_Toc13854_WPSOffice_Level2"/>
      <w:bookmarkStart w:id="42" w:name="_Toc14658_WPSOffice_Level2"/>
      <w:r>
        <w:rPr>
          <w:rFonts w:hint="eastAsia" w:ascii="黑体" w:hAnsi="黑体" w:eastAsia="黑体" w:cs="黑体"/>
          <w:sz w:val="32"/>
          <w:szCs w:val="32"/>
          <w:lang w:val="en-US" w:eastAsia="zh-CN"/>
        </w:rPr>
        <w:t>三、</w:t>
      </w:r>
      <w:r>
        <w:rPr>
          <w:rFonts w:hint="eastAsia" w:ascii="黑体" w:hAnsi="黑体" w:eastAsia="黑体" w:cs="黑体"/>
          <w:sz w:val="32"/>
          <w:szCs w:val="32"/>
        </w:rPr>
        <w:t>支出决算</w:t>
      </w:r>
      <w:r>
        <w:rPr>
          <w:rFonts w:hint="eastAsia" w:ascii="黑体" w:hAnsi="黑体" w:eastAsia="黑体" w:cs="黑体"/>
          <w:sz w:val="32"/>
          <w:szCs w:val="32"/>
          <w:lang w:eastAsia="zh-CN"/>
        </w:rPr>
        <w:t>公开表（见正文附件）</w:t>
      </w:r>
      <w:bookmarkEnd w:id="37"/>
      <w:bookmarkEnd w:id="38"/>
      <w:bookmarkEnd w:id="39"/>
      <w:r>
        <w:rPr>
          <w:rFonts w:hint="eastAsia" w:ascii="黑体" w:hAnsi="黑体" w:eastAsia="黑体" w:cs="黑体"/>
          <w:sz w:val="32"/>
          <w:szCs w:val="32"/>
          <w:lang w:eastAsia="zh-CN"/>
        </w:rPr>
        <w:t>。</w:t>
      </w:r>
      <w:bookmarkEnd w:id="40"/>
      <w:bookmarkEnd w:id="41"/>
      <w:bookmarkEnd w:id="42"/>
    </w:p>
    <w:p>
      <w:pPr>
        <w:ind w:firstLine="645"/>
        <w:rPr>
          <w:rFonts w:hint="eastAsia" w:ascii="黑体" w:hAnsi="黑体" w:eastAsia="黑体" w:cs="黑体"/>
          <w:sz w:val="32"/>
          <w:szCs w:val="32"/>
          <w:lang w:eastAsia="zh-CN"/>
        </w:rPr>
      </w:pPr>
      <w:bookmarkStart w:id="43" w:name="_Toc13701_WPSOffice_Level2"/>
      <w:bookmarkStart w:id="44" w:name="_Toc23591_WPSOffice_Level2"/>
      <w:bookmarkStart w:id="45" w:name="_Toc21415_WPSOffice_Level2"/>
      <w:bookmarkStart w:id="46" w:name="_Toc7988_WPSOffice_Level2"/>
      <w:bookmarkStart w:id="47" w:name="_Toc4265_WPSOffice_Level2"/>
      <w:bookmarkStart w:id="48" w:name="_Toc23493_WPSOffice_Level2"/>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财政拨款收入支出决算</w:t>
      </w:r>
      <w:r>
        <w:rPr>
          <w:rFonts w:hint="eastAsia" w:ascii="黑体" w:hAnsi="黑体" w:eastAsia="黑体" w:cs="黑体"/>
          <w:sz w:val="32"/>
          <w:szCs w:val="32"/>
          <w:lang w:eastAsia="zh-CN"/>
        </w:rPr>
        <w:t>公开表（见正文附件）</w:t>
      </w:r>
      <w:bookmarkEnd w:id="43"/>
      <w:bookmarkEnd w:id="44"/>
      <w:bookmarkEnd w:id="45"/>
      <w:r>
        <w:rPr>
          <w:rFonts w:hint="eastAsia" w:ascii="黑体" w:hAnsi="黑体" w:eastAsia="黑体" w:cs="黑体"/>
          <w:sz w:val="32"/>
          <w:szCs w:val="32"/>
          <w:lang w:eastAsia="zh-CN"/>
        </w:rPr>
        <w:t>。</w:t>
      </w:r>
      <w:bookmarkEnd w:id="46"/>
      <w:bookmarkEnd w:id="47"/>
      <w:bookmarkEnd w:id="48"/>
    </w:p>
    <w:p>
      <w:pPr>
        <w:ind w:firstLine="645"/>
        <w:rPr>
          <w:rFonts w:hint="eastAsia" w:ascii="黑体" w:hAnsi="黑体" w:eastAsia="黑体" w:cs="黑体"/>
          <w:sz w:val="32"/>
          <w:szCs w:val="32"/>
          <w:lang w:eastAsia="zh-CN"/>
        </w:rPr>
      </w:pPr>
      <w:bookmarkStart w:id="49" w:name="_Toc7879_WPSOffice_Level2"/>
      <w:bookmarkStart w:id="50" w:name="_Toc23829_WPSOffice_Level2"/>
      <w:bookmarkStart w:id="51" w:name="_Toc22783_WPSOffice_Level2"/>
      <w:bookmarkStart w:id="52" w:name="_Toc25166_WPSOffice_Level2"/>
      <w:bookmarkStart w:id="53" w:name="_Toc13516_WPSOffice_Level2"/>
      <w:bookmarkStart w:id="54" w:name="_Toc2158_WPSOffice_Level2"/>
      <w:r>
        <w:rPr>
          <w:rFonts w:hint="eastAsia" w:ascii="黑体" w:hAnsi="黑体" w:eastAsia="黑体" w:cs="黑体"/>
          <w:sz w:val="32"/>
          <w:szCs w:val="32"/>
          <w:lang w:val="en-US" w:eastAsia="zh-CN"/>
        </w:rPr>
        <w:t>五、</w:t>
      </w:r>
      <w:r>
        <w:rPr>
          <w:rFonts w:hint="eastAsia" w:ascii="黑体" w:hAnsi="黑体" w:eastAsia="黑体" w:cs="黑体"/>
          <w:sz w:val="32"/>
          <w:szCs w:val="32"/>
        </w:rPr>
        <w:t>一般公共预算财政拨款收入支出决算</w:t>
      </w:r>
      <w:bookmarkEnd w:id="49"/>
      <w:bookmarkEnd w:id="50"/>
      <w:bookmarkEnd w:id="51"/>
      <w:bookmarkEnd w:id="52"/>
      <w:r>
        <w:rPr>
          <w:rFonts w:hint="eastAsia" w:ascii="黑体" w:hAnsi="黑体" w:eastAsia="黑体" w:cs="黑体"/>
          <w:sz w:val="32"/>
          <w:szCs w:val="32"/>
          <w:lang w:eastAsia="zh-CN"/>
        </w:rPr>
        <w:t>公开表</w:t>
      </w:r>
    </w:p>
    <w:p>
      <w:pPr>
        <w:ind w:firstLine="1302" w:firstLineChars="407"/>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bookmarkEnd w:id="53"/>
      <w:bookmarkEnd w:id="54"/>
      <w:r>
        <w:rPr>
          <w:rFonts w:hint="eastAsia" w:ascii="黑体" w:hAnsi="黑体" w:eastAsia="黑体" w:cs="黑体"/>
          <w:sz w:val="32"/>
          <w:szCs w:val="32"/>
          <w:lang w:eastAsia="zh-CN"/>
        </w:rPr>
        <w:t>。</w:t>
      </w:r>
    </w:p>
    <w:p>
      <w:pPr>
        <w:ind w:firstLine="645"/>
        <w:rPr>
          <w:rFonts w:hint="eastAsia" w:ascii="黑体" w:hAnsi="黑体" w:eastAsia="黑体" w:cs="黑体"/>
          <w:sz w:val="32"/>
          <w:szCs w:val="32"/>
        </w:rPr>
      </w:pPr>
      <w:bookmarkStart w:id="55" w:name="_Toc17283_WPSOffice_Level2"/>
      <w:bookmarkStart w:id="56" w:name="_Toc17833_WPSOffice_Level2"/>
      <w:bookmarkStart w:id="57" w:name="_Toc25362_WPSOffice_Level2"/>
      <w:bookmarkStart w:id="58" w:name="_Toc2632_WPSOffice_Level2"/>
      <w:bookmarkStart w:id="59" w:name="_Toc5343_WPSOffice_Level2"/>
      <w:bookmarkStart w:id="60" w:name="_Toc8373_WPSOffice_Level2"/>
      <w:r>
        <w:rPr>
          <w:rFonts w:hint="eastAsia" w:ascii="黑体" w:hAnsi="黑体" w:eastAsia="黑体" w:cs="黑体"/>
          <w:sz w:val="32"/>
          <w:szCs w:val="32"/>
          <w:lang w:val="en-US" w:eastAsia="zh-CN"/>
        </w:rPr>
        <w:t>六、</w:t>
      </w:r>
      <w:r>
        <w:rPr>
          <w:rFonts w:hint="eastAsia" w:ascii="黑体" w:hAnsi="黑体" w:eastAsia="黑体" w:cs="黑体"/>
          <w:sz w:val="32"/>
          <w:szCs w:val="32"/>
        </w:rPr>
        <w:t>一般公共预算财政拨款基本支出决算</w:t>
      </w:r>
      <w:bookmarkEnd w:id="55"/>
      <w:bookmarkEnd w:id="56"/>
      <w:bookmarkEnd w:id="57"/>
      <w:bookmarkEnd w:id="58"/>
      <w:bookmarkEnd w:id="59"/>
      <w:bookmarkEnd w:id="60"/>
      <w:r>
        <w:rPr>
          <w:rFonts w:hint="eastAsia" w:ascii="黑体" w:hAnsi="黑体" w:eastAsia="黑体" w:cs="黑体"/>
          <w:sz w:val="32"/>
          <w:szCs w:val="32"/>
          <w:lang w:eastAsia="zh-CN"/>
        </w:rPr>
        <w:t>公开表</w:t>
      </w:r>
    </w:p>
    <w:p>
      <w:pPr>
        <w:ind w:firstLine="1280" w:firstLineChars="40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bookmarkStart w:id="61" w:name="_Toc5594_WPSOffice_Level2"/>
      <w:bookmarkStart w:id="62" w:name="_Toc6020_WPSOffice_Level2"/>
      <w:bookmarkStart w:id="63" w:name="_Toc1533_WPSOffice_Level2"/>
      <w:bookmarkStart w:id="64" w:name="_Toc21310_WPSOffice_Level2"/>
      <w:bookmarkStart w:id="65" w:name="_Toc13345_WPSOffice_Level2"/>
      <w:bookmarkStart w:id="66" w:name="_Toc11799_WPSOffice_Level2"/>
      <w:r>
        <w:rPr>
          <w:rFonts w:hint="eastAsia" w:ascii="黑体" w:hAnsi="黑体" w:eastAsia="黑体" w:cs="黑体"/>
          <w:sz w:val="32"/>
          <w:szCs w:val="32"/>
          <w:lang w:val="en-US" w:eastAsia="zh-CN"/>
        </w:rPr>
        <w:t>七、</w:t>
      </w:r>
      <w:r>
        <w:rPr>
          <w:rFonts w:hint="eastAsia" w:ascii="黑体" w:hAnsi="黑体" w:eastAsia="黑体" w:cs="黑体"/>
          <w:sz w:val="32"/>
          <w:szCs w:val="32"/>
        </w:rPr>
        <w:t>政府性基金预算财政拨款收入支出决算</w:t>
      </w:r>
      <w:bookmarkEnd w:id="61"/>
      <w:bookmarkEnd w:id="62"/>
      <w:bookmarkEnd w:id="63"/>
      <w:bookmarkEnd w:id="64"/>
      <w:bookmarkEnd w:id="65"/>
      <w:bookmarkEnd w:id="66"/>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lang w:eastAsia="zh-CN"/>
        </w:rPr>
        <w:t>国有资本经营</w:t>
      </w:r>
      <w:r>
        <w:rPr>
          <w:rFonts w:hint="eastAsia" w:ascii="黑体" w:hAnsi="黑体" w:eastAsia="黑体" w:cs="黑体"/>
          <w:sz w:val="32"/>
          <w:szCs w:val="32"/>
        </w:rPr>
        <w:t>预算财政拨款收入支出决算</w:t>
      </w:r>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sz w:val="32"/>
          <w:szCs w:val="32"/>
        </w:rPr>
      </w:pPr>
      <w:bookmarkStart w:id="67" w:name="_Toc29886_WPSOffice_Level2"/>
      <w:bookmarkStart w:id="68" w:name="_Toc9377_WPSOffice_Level2"/>
      <w:bookmarkStart w:id="69" w:name="_Toc1820_WPSOffice_Level2"/>
      <w:bookmarkStart w:id="70" w:name="_Toc19961_WPSOffice_Level2"/>
      <w:r>
        <w:rPr>
          <w:rFonts w:hint="eastAsia" w:ascii="黑体" w:hAnsi="黑体" w:eastAsia="黑体" w:cs="黑体"/>
          <w:sz w:val="32"/>
          <w:szCs w:val="32"/>
          <w:lang w:val="en-US" w:eastAsia="zh-CN"/>
        </w:rPr>
        <w:t xml:space="preserve">    九、</w:t>
      </w:r>
      <w:r>
        <w:rPr>
          <w:rFonts w:hint="eastAsia" w:ascii="黑体" w:hAnsi="黑体" w:eastAsia="黑体" w:cs="黑体"/>
          <w:sz w:val="32"/>
          <w:szCs w:val="32"/>
        </w:rPr>
        <w:t>一般公共预算财政拨款“三公”经费支出决算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bookmarkEnd w:id="67"/>
      <w:bookmarkEnd w:id="68"/>
      <w:bookmarkEnd w:id="69"/>
      <w:bookmarkEnd w:id="70"/>
      <w:r>
        <w:rPr>
          <w:rFonts w:hint="eastAsia" w:ascii="黑体" w:hAnsi="黑体" w:eastAsia="黑体" w:cs="黑体"/>
          <w:sz w:val="32"/>
          <w:szCs w:val="32"/>
          <w:lang w:val="en-US" w:eastAsia="zh-CN"/>
        </w:rPr>
        <w:t>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w:t>
      </w:r>
      <w:r>
        <w:rPr>
          <w:rFonts w:hint="eastAsia" w:ascii="黑体" w:hAnsi="黑体" w:eastAsia="黑体" w:cs="黑体"/>
          <w:w w:val="96"/>
          <w:sz w:val="32"/>
          <w:szCs w:val="32"/>
          <w:lang w:eastAsia="zh-CN"/>
        </w:rPr>
        <w:t>政府性基金</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十一、</w:t>
      </w:r>
      <w:r>
        <w:rPr>
          <w:rFonts w:hint="eastAsia" w:ascii="黑体" w:hAnsi="黑体" w:eastAsia="黑体" w:cs="黑体"/>
          <w:w w:val="96"/>
          <w:sz w:val="32"/>
          <w:szCs w:val="32"/>
          <w:lang w:eastAsia="zh-CN"/>
        </w:rPr>
        <w:t>国有资本经营</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ind w:firstLine="0" w:firstLineChars="0"/>
        <w:rPr>
          <w:rFonts w:hint="eastAsia" w:ascii="黑体" w:hAnsi="黑体" w:eastAsia="黑体" w:cs="黑体"/>
          <w:sz w:val="32"/>
          <w:szCs w:val="32"/>
          <w:lang w:eastAsia="zh-CN"/>
        </w:rPr>
      </w:pPr>
    </w:p>
    <w:p>
      <w:pPr>
        <w:jc w:val="center"/>
        <w:rPr>
          <w:rFonts w:hint="eastAsia" w:ascii="黑体" w:hAnsi="ˎ̥" w:eastAsia="黑体"/>
          <w:b w:val="0"/>
          <w:bCs w:val="0"/>
          <w:sz w:val="32"/>
          <w:szCs w:val="32"/>
        </w:rPr>
      </w:pPr>
      <w:bookmarkStart w:id="71" w:name="_Toc16686_WPSOffice_Level1"/>
      <w:bookmarkStart w:id="72" w:name="_Toc27590_WPSOffice_Level1"/>
      <w:bookmarkStart w:id="73" w:name="_Toc29683_WPSOffice_Level1"/>
      <w:bookmarkStart w:id="74" w:name="_Toc31264_WPSOffice_Level1"/>
      <w:bookmarkStart w:id="75" w:name="_Toc28629_WPSOffice_Level1"/>
      <w:bookmarkStart w:id="76" w:name="_Toc4402_WPSOffice_Level1"/>
      <w:r>
        <w:rPr>
          <w:rFonts w:hint="eastAsia" w:ascii="黑体" w:hAnsi="ˎ̥" w:eastAsia="黑体"/>
          <w:b w:val="0"/>
          <w:bCs w:val="0"/>
          <w:sz w:val="32"/>
          <w:szCs w:val="32"/>
          <w:lang w:eastAsia="zh-CN"/>
        </w:rPr>
        <w:t>第三部分</w:t>
      </w:r>
      <w:r>
        <w:rPr>
          <w:rFonts w:hint="eastAsia" w:ascii="黑体" w:hAnsi="ˎ̥" w:eastAsia="黑体"/>
          <w:b w:val="0"/>
          <w:bCs w:val="0"/>
          <w:sz w:val="32"/>
          <w:szCs w:val="32"/>
          <w:lang w:val="en-US" w:eastAsia="zh-CN"/>
        </w:rPr>
        <w:t xml:space="preserve">  三亚市路灯管理所</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部门决算情况说明</w:t>
      </w:r>
      <w:bookmarkEnd w:id="71"/>
      <w:bookmarkEnd w:id="72"/>
      <w:bookmarkEnd w:id="73"/>
      <w:bookmarkEnd w:id="74"/>
      <w:bookmarkEnd w:id="75"/>
      <w:bookmarkEnd w:id="76"/>
    </w:p>
    <w:p>
      <w:pPr>
        <w:jc w:val="center"/>
        <w:rPr>
          <w:rFonts w:hint="eastAsia" w:ascii="黑体" w:hAnsi="ˎ̥" w:eastAsia="黑体"/>
          <w:sz w:val="32"/>
          <w:szCs w:val="32"/>
        </w:rPr>
      </w:pPr>
    </w:p>
    <w:p>
      <w:pPr>
        <w:numPr>
          <w:ilvl w:val="0"/>
          <w:numId w:val="0"/>
        </w:numPr>
        <w:ind w:firstLine="640" w:firstLineChars="200"/>
        <w:rPr>
          <w:rFonts w:hint="eastAsia" w:ascii="仿宋_GB2312" w:hAnsi="ˎ̥" w:eastAsia="仿宋_GB2312"/>
          <w:sz w:val="32"/>
          <w:szCs w:val="32"/>
          <w:lang w:val="en-US" w:eastAsia="zh-CN"/>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收入支出决算总体情况说明</w:t>
      </w:r>
      <w:r>
        <w:rPr>
          <w:rFonts w:hint="eastAsia" w:ascii="黑体" w:hAnsi="黑体" w:eastAsia="黑体" w:cs="黑体"/>
          <w:b w:val="0"/>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收入总计3888.05</w:t>
      </w:r>
      <w:r>
        <w:rPr>
          <w:rFonts w:hint="eastAsia" w:ascii="仿宋_GB2312" w:hAnsi="ˎ̥" w:eastAsia="仿宋_GB2312"/>
          <w:sz w:val="32"/>
          <w:szCs w:val="32"/>
        </w:rPr>
        <w:t>万元，与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收入总计减少550.62万元，下降12.41%。</w:t>
      </w:r>
      <w:r>
        <w:rPr>
          <w:rFonts w:hint="eastAsia" w:ascii="仿宋_GB2312" w:hAnsi="ˎ̥" w:eastAsia="仿宋_GB2312"/>
          <w:sz w:val="32"/>
          <w:szCs w:val="32"/>
        </w:rPr>
        <w:t>主要原因是</w:t>
      </w:r>
      <w:r>
        <w:rPr>
          <w:rFonts w:hint="eastAsia" w:ascii="仿宋_GB2312" w:hAnsi="ˎ̥" w:eastAsia="仿宋_GB2312"/>
          <w:sz w:val="32"/>
          <w:szCs w:val="32"/>
          <w:lang w:eastAsia="zh-CN"/>
        </w:rPr>
        <w:t>：三亚市</w:t>
      </w:r>
      <w:r>
        <w:rPr>
          <w:rFonts w:hint="eastAsia" w:ascii="仿宋_GB2312" w:hAnsi="??" w:eastAsia="仿宋_GB2312"/>
          <w:sz w:val="32"/>
          <w:szCs w:val="32"/>
        </w:rPr>
        <w:t>财政局</w:t>
      </w:r>
      <w:r>
        <w:rPr>
          <w:rFonts w:hint="eastAsia" w:ascii="仿宋_GB2312" w:hAnsi="??" w:eastAsia="仿宋_GB2312"/>
          <w:sz w:val="32"/>
          <w:szCs w:val="32"/>
          <w:lang w:eastAsia="zh-CN"/>
        </w:rPr>
        <w:t>减少</w:t>
      </w:r>
      <w:r>
        <w:rPr>
          <w:rFonts w:hint="eastAsia" w:ascii="仿宋_GB2312" w:hAnsi="??" w:eastAsia="仿宋_GB2312"/>
          <w:sz w:val="32"/>
          <w:szCs w:val="32"/>
        </w:rPr>
        <w:t>安排</w:t>
      </w:r>
      <w:r>
        <w:rPr>
          <w:rFonts w:ascii="仿宋_GB2312" w:hAnsi="??" w:eastAsia="仿宋_GB2312"/>
          <w:sz w:val="32"/>
          <w:szCs w:val="32"/>
        </w:rPr>
        <w:t>202</w:t>
      </w:r>
      <w:r>
        <w:rPr>
          <w:rFonts w:hint="eastAsia" w:ascii="仿宋_GB2312" w:hAnsi="??" w:eastAsia="仿宋_GB2312"/>
          <w:sz w:val="32"/>
          <w:szCs w:val="32"/>
          <w:lang w:val="en-US" w:eastAsia="zh-CN"/>
        </w:rPr>
        <w:t>1</w:t>
      </w:r>
      <w:r>
        <w:rPr>
          <w:rFonts w:hint="eastAsia" w:ascii="仿宋_GB2312" w:hAnsi="??" w:eastAsia="仿宋_GB2312"/>
          <w:sz w:val="32"/>
          <w:szCs w:val="32"/>
        </w:rPr>
        <w:t>年</w:t>
      </w:r>
      <w:r>
        <w:rPr>
          <w:rFonts w:hint="eastAsia" w:ascii="仿宋_GB2312" w:hAnsi="??" w:eastAsia="仿宋_GB2312"/>
          <w:sz w:val="32"/>
          <w:szCs w:val="32"/>
          <w:lang w:eastAsia="zh-CN"/>
        </w:rPr>
        <w:t>单位</w:t>
      </w:r>
      <w:r>
        <w:rPr>
          <w:rFonts w:hint="eastAsia" w:ascii="仿宋_GB2312" w:hAnsi="??" w:eastAsia="仿宋_GB2312"/>
          <w:sz w:val="32"/>
          <w:szCs w:val="32"/>
          <w:lang w:val="en-US" w:eastAsia="zh-CN"/>
        </w:rPr>
        <w:t>4条经常性项目</w:t>
      </w:r>
      <w:r>
        <w:rPr>
          <w:rFonts w:hint="eastAsia" w:ascii="仿宋_GB2312" w:hAnsi="??" w:eastAsia="仿宋_GB2312"/>
          <w:sz w:val="32"/>
          <w:szCs w:val="32"/>
          <w:lang w:eastAsia="zh-CN"/>
        </w:rPr>
        <w:t>的预算</w:t>
      </w:r>
      <w:r>
        <w:rPr>
          <w:rFonts w:hint="eastAsia" w:ascii="仿宋_GB2312" w:hAnsi="??" w:eastAsia="仿宋_GB2312"/>
          <w:sz w:val="32"/>
          <w:szCs w:val="32"/>
        </w:rPr>
        <w:t>经费</w:t>
      </w:r>
      <w:r>
        <w:rPr>
          <w:rFonts w:hint="eastAsia" w:ascii="仿宋_GB2312" w:hAnsi="ˎ̥" w:eastAsia="仿宋_GB2312"/>
          <w:sz w:val="32"/>
          <w:szCs w:val="32"/>
        </w:rPr>
        <w:t>。</w:t>
      </w:r>
      <w:r>
        <w:rPr>
          <w:rFonts w:hint="eastAsia" w:ascii="仿宋_GB2312" w:hAnsi="ˎ̥" w:eastAsia="仿宋_GB2312"/>
          <w:sz w:val="32"/>
          <w:szCs w:val="32"/>
          <w:lang w:eastAsia="zh-CN"/>
        </w:rPr>
        <w:t>支出总计</w:t>
      </w:r>
      <w:r>
        <w:rPr>
          <w:rFonts w:hint="eastAsia" w:ascii="仿宋_GB2312" w:hAnsi="ˎ̥" w:eastAsia="仿宋_GB2312"/>
          <w:sz w:val="32"/>
          <w:szCs w:val="32"/>
          <w:lang w:val="en-US" w:eastAsia="zh-CN"/>
        </w:rPr>
        <w:t>4153.97</w:t>
      </w:r>
      <w:r>
        <w:rPr>
          <w:rFonts w:hint="eastAsia" w:ascii="仿宋_GB2312" w:hAnsi="ˎ̥" w:eastAsia="仿宋_GB2312"/>
          <w:sz w:val="32"/>
          <w:szCs w:val="32"/>
          <w:lang w:eastAsia="zh-CN"/>
        </w:rPr>
        <w:t>万元，与</w:t>
      </w:r>
      <w:r>
        <w:rPr>
          <w:rFonts w:hint="eastAsia" w:ascii="仿宋_GB2312" w:hAnsi="ˎ̥" w:eastAsia="仿宋_GB2312"/>
          <w:sz w:val="32"/>
          <w:szCs w:val="32"/>
          <w:lang w:val="en-US" w:eastAsia="zh-CN"/>
        </w:rPr>
        <w:t>2020年度相比，支出总计增加47.86</w:t>
      </w:r>
      <w:r>
        <w:rPr>
          <w:rFonts w:hint="eastAsia" w:ascii="仿宋_GB2312" w:hAnsi="ˎ̥" w:eastAsia="仿宋_GB2312"/>
          <w:sz w:val="32"/>
          <w:szCs w:val="32"/>
        </w:rPr>
        <w:t>万元，</w:t>
      </w:r>
      <w:r>
        <w:rPr>
          <w:rFonts w:hint="eastAsia" w:ascii="仿宋_GB2312" w:hAnsi="ˎ̥" w:eastAsia="仿宋_GB2312"/>
          <w:sz w:val="32"/>
          <w:szCs w:val="32"/>
          <w:lang w:eastAsia="zh-CN"/>
        </w:rPr>
        <w:t>增长</w:t>
      </w:r>
      <w:r>
        <w:rPr>
          <w:rFonts w:hint="eastAsia" w:ascii="仿宋_GB2312" w:hAnsi="ˎ̥" w:eastAsia="仿宋_GB2312"/>
          <w:sz w:val="32"/>
          <w:szCs w:val="32"/>
          <w:lang w:val="en-US" w:eastAsia="zh-CN"/>
        </w:rPr>
        <w:t>1.17</w:t>
      </w:r>
      <w:r>
        <w:rPr>
          <w:rFonts w:hint="eastAsia" w:ascii="仿宋_GB2312" w:hAnsi="ˎ̥" w:eastAsia="仿宋_GB2312"/>
          <w:sz w:val="32"/>
          <w:szCs w:val="32"/>
        </w:rPr>
        <w:t>%。</w:t>
      </w:r>
      <w:r>
        <w:rPr>
          <w:rFonts w:hint="eastAsia" w:ascii="仿宋_GB2312" w:hAnsi="ˎ̥" w:eastAsia="仿宋_GB2312"/>
          <w:sz w:val="32"/>
          <w:szCs w:val="32"/>
          <w:lang w:eastAsia="zh-CN"/>
        </w:rPr>
        <w:t>主要原因是：使用</w:t>
      </w:r>
      <w:r>
        <w:rPr>
          <w:rFonts w:hint="eastAsia" w:ascii="仿宋_GB2312" w:hAnsi="ˎ̥" w:eastAsia="仿宋_GB2312"/>
          <w:sz w:val="32"/>
          <w:szCs w:val="32"/>
          <w:lang w:val="en-US" w:eastAsia="zh-CN"/>
        </w:rPr>
        <w:t>2020年结余资金支付职工1月工资、公积金、社会保障费及2020年工程项目结算款等。</w:t>
      </w:r>
      <w:r>
        <w:rPr>
          <w:rFonts w:hint="eastAsia" w:ascii="仿宋_GB2312" w:hAnsi="ˎ̥" w:eastAsia="仿宋_GB2312"/>
          <w:sz w:val="32"/>
          <w:szCs w:val="32"/>
          <w:lang w:eastAsia="zh-CN"/>
        </w:rPr>
        <w:t>使用非财政拨款结余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2020年度决算数增加（减少）0</w:t>
      </w:r>
      <w:r>
        <w:rPr>
          <w:rFonts w:hint="eastAsia" w:ascii="仿宋_GB2312" w:hAnsi="ˎ̥" w:eastAsia="仿宋_GB2312"/>
          <w:sz w:val="32"/>
          <w:szCs w:val="32"/>
        </w:rPr>
        <w:t>万元</w:t>
      </w:r>
      <w:r>
        <w:rPr>
          <w:rFonts w:hint="eastAsia" w:ascii="仿宋_GB2312" w:hAnsi="ˎ̥" w:eastAsia="仿宋_GB2312"/>
          <w:sz w:val="32"/>
          <w:szCs w:val="32"/>
          <w:lang w:eastAsia="zh-CN"/>
        </w:rPr>
        <w:t>。年初结转结余</w:t>
      </w:r>
      <w:r>
        <w:rPr>
          <w:rFonts w:hint="eastAsia" w:ascii="仿宋_GB2312" w:hAnsi="ˎ̥" w:eastAsia="仿宋_GB2312"/>
          <w:sz w:val="32"/>
          <w:szCs w:val="32"/>
          <w:lang w:val="en-US" w:eastAsia="zh-CN"/>
        </w:rPr>
        <w:t>351.89</w:t>
      </w:r>
      <w:r>
        <w:rPr>
          <w:rFonts w:hint="eastAsia" w:ascii="仿宋_GB2312" w:hAnsi="ˎ̥" w:eastAsia="仿宋_GB2312"/>
          <w:sz w:val="32"/>
          <w:szCs w:val="32"/>
        </w:rPr>
        <w:t>万元</w:t>
      </w:r>
      <w:r>
        <w:rPr>
          <w:rFonts w:hint="eastAsia" w:ascii="仿宋_GB2312" w:hAnsi="ˎ̥" w:eastAsia="仿宋_GB2312"/>
          <w:sz w:val="32"/>
          <w:szCs w:val="32"/>
          <w:lang w:eastAsia="zh-CN"/>
        </w:rPr>
        <w:t>，主要有：</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城市路灯维护项目年初结转结余资金</w:t>
      </w:r>
      <w:r>
        <w:rPr>
          <w:rFonts w:hint="eastAsia" w:ascii="仿宋_GB2312" w:hAnsi="ˎ̥" w:eastAsia="仿宋_GB2312"/>
          <w:sz w:val="32"/>
          <w:szCs w:val="32"/>
          <w:lang w:val="en-US" w:eastAsia="zh-CN"/>
        </w:rPr>
        <w:t>80.02万元；2、路灯灯控系统设施专项维护项目年初结转结余资金32.71万元；3、路灯高压箱变及高压线路检测项目年初结转结余资金7.20万元；4、城镇公用事业照明项目年初结转结余资金151.18万元；例年结转结余资金80.78万元。</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2020年度决算数增加271.11</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增长</w:t>
      </w:r>
      <w:r>
        <w:rPr>
          <w:rFonts w:hint="eastAsia" w:ascii="仿宋_GB2312" w:hAnsi="ˎ̥" w:eastAsia="仿宋_GB2312"/>
          <w:sz w:val="32"/>
          <w:szCs w:val="32"/>
          <w:lang w:val="en-US" w:eastAsia="zh-CN"/>
        </w:rPr>
        <w:t>335.61</w:t>
      </w:r>
      <w:r>
        <w:rPr>
          <w:rFonts w:hint="eastAsia" w:ascii="仿宋_GB2312" w:hAnsi="ˎ̥" w:eastAsia="仿宋_GB2312"/>
          <w:sz w:val="32"/>
          <w:szCs w:val="32"/>
        </w:rPr>
        <w:t>%</w:t>
      </w:r>
      <w:r>
        <w:rPr>
          <w:rFonts w:hint="eastAsia" w:ascii="仿宋_GB2312" w:hAnsi="ˎ̥" w:eastAsia="仿宋_GB2312"/>
          <w:sz w:val="32"/>
          <w:szCs w:val="32"/>
          <w:lang w:eastAsia="zh-CN"/>
        </w:rPr>
        <w:t>，主要原因是三亚市财政局返还</w:t>
      </w:r>
      <w:r>
        <w:rPr>
          <w:rFonts w:hint="eastAsia" w:ascii="仿宋_GB2312" w:hAnsi="ˎ̥" w:eastAsia="仿宋_GB2312"/>
          <w:sz w:val="32"/>
          <w:szCs w:val="32"/>
          <w:lang w:val="en-US" w:eastAsia="zh-CN"/>
        </w:rPr>
        <w:t>2020年4条项目未使用完的资金共271.11万元</w:t>
      </w:r>
      <w:r>
        <w:rPr>
          <w:rFonts w:hint="eastAsia" w:ascii="仿宋_GB2312" w:hAnsi="ˎ̥" w:eastAsia="仿宋_GB2312"/>
          <w:sz w:val="32"/>
          <w:szCs w:val="32"/>
          <w:lang w:eastAsia="zh-CN"/>
        </w:rPr>
        <w:t>。结余分配</w:t>
      </w:r>
      <w:r>
        <w:rPr>
          <w:rFonts w:hint="eastAsia" w:ascii="仿宋_GB2312" w:hAnsi="ˎ̥" w:eastAsia="仿宋_GB2312"/>
          <w:sz w:val="32"/>
          <w:szCs w:val="32"/>
          <w:lang w:val="en-US" w:eastAsia="zh-CN"/>
        </w:rPr>
        <w:t>5.2</w:t>
      </w:r>
      <w:r>
        <w:rPr>
          <w:rFonts w:hint="eastAsia" w:ascii="仿宋_GB2312" w:hAnsi="ˎ̥" w:eastAsia="仿宋_GB2312"/>
          <w:sz w:val="32"/>
          <w:szCs w:val="32"/>
        </w:rPr>
        <w:t>万元</w:t>
      </w:r>
      <w:r>
        <w:rPr>
          <w:rFonts w:hint="eastAsia" w:ascii="仿宋_GB2312" w:hAnsi="ˎ̥" w:eastAsia="仿宋_GB2312"/>
          <w:sz w:val="32"/>
          <w:szCs w:val="32"/>
          <w:lang w:eastAsia="zh-CN"/>
        </w:rPr>
        <w:t>，主要是基本户取得的利息扣除银行手续费后的结余资金，较</w:t>
      </w:r>
      <w:r>
        <w:rPr>
          <w:rFonts w:hint="eastAsia" w:ascii="仿宋_GB2312" w:hAnsi="ˎ̥" w:eastAsia="仿宋_GB2312"/>
          <w:sz w:val="32"/>
          <w:szCs w:val="32"/>
          <w:lang w:val="en-US" w:eastAsia="zh-CN"/>
        </w:rPr>
        <w:t>2020年度决算数减少0.6</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9.99</w:t>
      </w:r>
      <w:r>
        <w:rPr>
          <w:rFonts w:hint="eastAsia" w:ascii="仿宋_GB2312" w:hAnsi="ˎ̥" w:eastAsia="仿宋_GB2312"/>
          <w:sz w:val="32"/>
          <w:szCs w:val="32"/>
        </w:rPr>
        <w:t>%</w:t>
      </w:r>
      <w:r>
        <w:rPr>
          <w:rFonts w:hint="eastAsia" w:ascii="仿宋_GB2312" w:hAnsi="ˎ̥" w:eastAsia="仿宋_GB2312"/>
          <w:sz w:val="32"/>
          <w:szCs w:val="32"/>
          <w:lang w:eastAsia="zh-CN"/>
        </w:rPr>
        <w:t>，主要原因是从基本户退回</w:t>
      </w:r>
      <w:r>
        <w:rPr>
          <w:rFonts w:hint="eastAsia" w:ascii="仿宋_GB2312" w:hAnsi="ˎ̥" w:eastAsia="仿宋_GB2312"/>
          <w:sz w:val="32"/>
          <w:szCs w:val="32"/>
          <w:lang w:val="en-US" w:eastAsia="zh-CN"/>
        </w:rPr>
        <w:t>D栋职工住宅楼结算款</w:t>
      </w:r>
      <w:r>
        <w:rPr>
          <w:rFonts w:hint="eastAsia" w:ascii="仿宋_GB2312" w:hAnsi="ˎ̥" w:eastAsia="仿宋_GB2312"/>
          <w:sz w:val="32"/>
          <w:szCs w:val="32"/>
          <w:lang w:eastAsia="zh-CN"/>
        </w:rPr>
        <w:t>，银行存款减少，利息也相应的减少。年末结转结余</w:t>
      </w:r>
      <w:r>
        <w:rPr>
          <w:rFonts w:hint="eastAsia" w:ascii="仿宋_GB2312" w:hAnsi="ˎ̥" w:eastAsia="仿宋_GB2312"/>
          <w:sz w:val="32"/>
          <w:szCs w:val="32"/>
          <w:lang w:val="en-US" w:eastAsia="zh-CN"/>
        </w:rPr>
        <w:t>80.78</w:t>
      </w:r>
      <w:r>
        <w:rPr>
          <w:rFonts w:hint="eastAsia" w:ascii="仿宋_GB2312" w:hAnsi="ˎ̥" w:eastAsia="仿宋_GB2312"/>
          <w:sz w:val="32"/>
          <w:szCs w:val="32"/>
        </w:rPr>
        <w:t>万元</w:t>
      </w:r>
      <w:r>
        <w:rPr>
          <w:rFonts w:hint="eastAsia" w:ascii="仿宋_GB2312" w:hAnsi="ˎ̥" w:eastAsia="仿宋_GB2312"/>
          <w:sz w:val="32"/>
          <w:szCs w:val="32"/>
          <w:lang w:eastAsia="zh-CN"/>
        </w:rPr>
        <w:t>，主要是例年结余资金，较</w:t>
      </w:r>
      <w:r>
        <w:rPr>
          <w:rFonts w:hint="eastAsia" w:ascii="仿宋_GB2312" w:hAnsi="ˎ̥" w:eastAsia="仿宋_GB2312"/>
          <w:sz w:val="32"/>
          <w:szCs w:val="32"/>
          <w:lang w:val="en-US" w:eastAsia="zh-CN"/>
        </w:rPr>
        <w:t>2020年度决算数减少326.78</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80.18</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2021年</w:t>
      </w:r>
      <w:r>
        <w:rPr>
          <w:rFonts w:hint="eastAsia" w:ascii="仿宋_GB2312" w:hAnsi="ˎ̥" w:eastAsia="仿宋_GB2312"/>
          <w:sz w:val="32"/>
          <w:szCs w:val="32"/>
          <w:lang w:eastAsia="zh-CN"/>
        </w:rPr>
        <w:t>使用完上年结余资金支付</w:t>
      </w:r>
      <w:r>
        <w:rPr>
          <w:rFonts w:hint="eastAsia" w:ascii="仿宋_GB2312" w:hAnsi="ˎ̥" w:eastAsia="仿宋_GB2312"/>
          <w:sz w:val="32"/>
          <w:szCs w:val="32"/>
          <w:lang w:val="en-US" w:eastAsia="zh-CN"/>
        </w:rPr>
        <w:t>职工1月工资、公积金、社会保障费及2020年工程项目结算款等。</w:t>
      </w:r>
    </w:p>
    <w:p>
      <w:pPr>
        <w:numPr>
          <w:ilvl w:val="0"/>
          <w:numId w:val="0"/>
        </w:numPr>
        <w:ind w:firstLine="640" w:firstLineChars="200"/>
        <w:rPr>
          <w:rFonts w:hint="eastAsia" w:ascii="仿宋_GB2312" w:hAnsi="ˎ̥" w:eastAsia="仿宋_GB2312"/>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收入决算情况说明</w:t>
      </w:r>
      <w:r>
        <w:rPr>
          <w:rFonts w:hint="eastAsia" w:ascii="黑体" w:hAnsi="黑体" w:eastAsia="黑体" w:cs="黑体"/>
          <w:b w:val="0"/>
          <w:bCs/>
          <w:sz w:val="32"/>
          <w:szCs w:val="32"/>
        </w:rPr>
        <w:br w:type="textWrapping"/>
      </w: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3888.05</w:t>
      </w:r>
      <w:r>
        <w:rPr>
          <w:rFonts w:hint="eastAsia" w:ascii="仿宋_GB2312" w:hAnsi="ˎ̥" w:eastAsia="仿宋_GB2312"/>
          <w:sz w:val="32"/>
          <w:szCs w:val="32"/>
        </w:rPr>
        <w:t>万元，其中：财政拨款收入3882.65万元，占</w:t>
      </w:r>
      <w:r>
        <w:rPr>
          <w:rFonts w:hint="eastAsia" w:ascii="仿宋_GB2312" w:hAnsi="ˎ̥" w:eastAsia="仿宋_GB2312"/>
          <w:sz w:val="32"/>
          <w:szCs w:val="32"/>
          <w:lang w:val="en-US" w:eastAsia="zh-CN"/>
        </w:rPr>
        <w:t>99.86</w:t>
      </w:r>
      <w:r>
        <w:rPr>
          <w:rFonts w:hint="eastAsia" w:ascii="仿宋_GB2312" w:hAnsi="ˎ̥" w:eastAsia="仿宋_GB2312"/>
          <w:sz w:val="32"/>
          <w:szCs w:val="32"/>
        </w:rPr>
        <w:t>%；上级补助收入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%；事业收入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%；附属单位上缴收入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%；其他收入</w:t>
      </w:r>
      <w:r>
        <w:rPr>
          <w:rFonts w:hint="eastAsia" w:ascii="仿宋_GB2312" w:hAnsi="ˎ̥" w:eastAsia="仿宋_GB2312"/>
          <w:sz w:val="32"/>
          <w:szCs w:val="32"/>
          <w:lang w:val="en-US" w:eastAsia="zh-CN"/>
        </w:rPr>
        <w:t>5.4</w:t>
      </w:r>
      <w:r>
        <w:rPr>
          <w:rFonts w:hint="eastAsia" w:ascii="仿宋_GB2312" w:hAnsi="ˎ̥" w:eastAsia="仿宋_GB2312"/>
          <w:sz w:val="32"/>
          <w:szCs w:val="32"/>
        </w:rPr>
        <w:t>万元，占</w:t>
      </w:r>
      <w:r>
        <w:rPr>
          <w:rFonts w:hint="eastAsia" w:ascii="仿宋_GB2312" w:hAnsi="ˎ̥" w:eastAsia="仿宋_GB2312"/>
          <w:sz w:val="32"/>
          <w:szCs w:val="32"/>
          <w:lang w:val="en-US" w:eastAsia="zh-CN"/>
        </w:rPr>
        <w:t>0.14</w:t>
      </w:r>
      <w:r>
        <w:rPr>
          <w:rFonts w:hint="eastAsia" w:ascii="仿宋_GB2312" w:hAnsi="ˎ̥" w:eastAsia="仿宋_GB2312"/>
          <w:sz w:val="32"/>
          <w:szCs w:val="32"/>
        </w:rPr>
        <w:t>%。</w:t>
      </w:r>
    </w:p>
    <w:p>
      <w:pPr>
        <w:numPr>
          <w:ilvl w:val="0"/>
          <w:numId w:val="0"/>
        </w:numPr>
        <w:ind w:leftChars="196"/>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 xml:space="preserve"> </w:t>
      </w:r>
      <w:r>
        <w:rPr>
          <w:rFonts w:ascii="仿宋" w:hAnsi="仿宋" w:eastAsia="仿宋" w:cs="仿宋"/>
          <w:color w:val="000000"/>
          <w:sz w:val="32"/>
          <w:szCs w:val="32"/>
        </w:rPr>
        <w:object>
          <v:shape id="_x0000_i1025" o:spt="75" alt="wordml://1.emf" type="#_x0000_t75" style="height:222pt;width:381.05pt;" o:ole="t" filled="f" o:preferrelative="t" stroked="f" coordsize="21600,21600">
            <v:path/>
            <v:fill on="f" focussize="0,0"/>
            <v:stroke on="f"/>
            <v:imagedata r:id="rId7" o:title=""/>
            <o:lock v:ext="edit" aspectratio="t"/>
            <w10:wrap type="none"/>
            <w10:anchorlock/>
          </v:shape>
          <o:OLEObject Type="Embed" ProgID="Excel.Chart.8" ShapeID="_x0000_i1025" DrawAspect="Content" ObjectID="_1468075725" r:id="rId6">
            <o:LockedField>false</o:LockedField>
          </o:OLEObject>
        </w:objec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4153.97</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22.8</w:t>
      </w:r>
      <w:r>
        <w:rPr>
          <w:rFonts w:hint="eastAsia" w:ascii="仿宋_GB2312" w:hAnsi="ˎ̥" w:eastAsia="仿宋_GB2312"/>
          <w:sz w:val="32"/>
          <w:szCs w:val="32"/>
        </w:rPr>
        <w:t>万元，占</w:t>
      </w:r>
      <w:r>
        <w:rPr>
          <w:rFonts w:hint="eastAsia" w:ascii="仿宋_GB2312" w:hAnsi="ˎ̥" w:eastAsia="仿宋_GB2312"/>
          <w:sz w:val="32"/>
          <w:szCs w:val="32"/>
          <w:lang w:val="en-US" w:eastAsia="zh-CN"/>
        </w:rPr>
        <w:t>0.55</w:t>
      </w:r>
      <w:r>
        <w:rPr>
          <w:rFonts w:hint="eastAsia" w:ascii="仿宋_GB2312" w:hAnsi="ˎ̥" w:eastAsia="仿宋_GB2312"/>
          <w:sz w:val="32"/>
          <w:szCs w:val="32"/>
        </w:rPr>
        <w:t>%；项目支出</w:t>
      </w:r>
      <w:r>
        <w:rPr>
          <w:rFonts w:hint="eastAsia" w:ascii="仿宋_GB2312" w:hAnsi="ˎ̥" w:eastAsia="仿宋_GB2312"/>
          <w:sz w:val="32"/>
          <w:szCs w:val="32"/>
          <w:lang w:val="en-US" w:eastAsia="zh-CN"/>
        </w:rPr>
        <w:t>4131.17</w:t>
      </w:r>
      <w:r>
        <w:rPr>
          <w:rFonts w:hint="eastAsia" w:ascii="仿宋_GB2312" w:hAnsi="ˎ̥" w:eastAsia="仿宋_GB2312"/>
          <w:sz w:val="32"/>
          <w:szCs w:val="32"/>
        </w:rPr>
        <w:t>万元，占</w:t>
      </w:r>
      <w:r>
        <w:rPr>
          <w:rFonts w:hint="eastAsia" w:ascii="仿宋_GB2312" w:hAnsi="ˎ̥" w:eastAsia="仿宋_GB2312"/>
          <w:sz w:val="32"/>
          <w:szCs w:val="32"/>
          <w:lang w:val="en-US" w:eastAsia="zh-CN"/>
        </w:rPr>
        <w:t>99.45</w:t>
      </w:r>
      <w:r>
        <w:rPr>
          <w:rFonts w:hint="eastAsia" w:ascii="仿宋_GB2312" w:hAnsi="ˎ̥" w:eastAsia="仿宋_GB2312"/>
          <w:sz w:val="32"/>
          <w:szCs w:val="32"/>
        </w:rPr>
        <w:t>%；上缴上级支出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%；对附属单位补助支出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黑体" w:hAnsi="黑体" w:eastAsia="黑体" w:cs="黑体"/>
          <w:b w:val="0"/>
          <w:bCs/>
          <w:sz w:val="32"/>
          <w:szCs w:val="32"/>
          <w:lang w:eastAsia="zh-CN"/>
        </w:rPr>
      </w:pPr>
      <w:r>
        <w:rPr>
          <w:rFonts w:ascii="仿宋" w:hAnsi="仿宋" w:eastAsia="仿宋" w:cs="仿宋"/>
          <w:color w:val="000000"/>
          <w:sz w:val="32"/>
          <w:szCs w:val="32"/>
        </w:rPr>
        <w:object>
          <v:shape id="_x0000_i1026" o:spt="75" alt="wordml://1.emf" type="#_x0000_t75" style="height:222pt;width:377.25pt;" o:ole="t" filled="f" o:preferrelative="t" stroked="f" coordsize="21600,21600">
            <v:path/>
            <v:fill on="f" focussize="0,0"/>
            <v:stroke on="f"/>
            <v:imagedata r:id="rId9" o:title=""/>
            <o:lock v:ext="edit" aspectratio="t"/>
            <w10:wrap type="none"/>
            <w10:anchorlock/>
          </v:shape>
          <o:OLEObject Type="Embed" ProgID="Excel.Chart.8" ShapeID="_x0000_i1026" DrawAspect="Content" ObjectID="_1468075726" r:id="rId8">
            <o:LockedField>false</o:LockedField>
          </o:OLEObject>
        </w:object>
      </w: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财政拨款收入支出决算总体情况说明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财政拨款收入</w:t>
      </w:r>
      <w:r>
        <w:rPr>
          <w:rFonts w:hint="eastAsia" w:ascii="仿宋_GB2312" w:hAnsi="ˎ̥" w:eastAsia="仿宋_GB2312"/>
          <w:sz w:val="32"/>
          <w:szCs w:val="32"/>
          <w:lang w:eastAsia="zh-CN"/>
        </w:rPr>
        <w:t>总计</w:t>
      </w:r>
      <w:r>
        <w:rPr>
          <w:rFonts w:hint="eastAsia" w:ascii="仿宋_GB2312" w:hAnsi="ˎ̥" w:eastAsia="仿宋_GB2312"/>
          <w:sz w:val="32"/>
          <w:szCs w:val="32"/>
          <w:lang w:val="en-US" w:eastAsia="zh-CN"/>
        </w:rPr>
        <w:t>4234.55</w:t>
      </w:r>
      <w:r>
        <w:rPr>
          <w:rFonts w:hint="eastAsia" w:ascii="仿宋_GB2312" w:hAnsi="ˎ̥" w:eastAsia="仿宋_GB2312"/>
          <w:sz w:val="32"/>
          <w:szCs w:val="32"/>
          <w:lang w:eastAsia="zh-CN"/>
        </w:rPr>
        <w:t>万元，</w:t>
      </w:r>
      <w:r>
        <w:rPr>
          <w:rFonts w:hint="eastAsia" w:ascii="仿宋_GB2312" w:hAnsi="ˎ̥" w:eastAsia="仿宋_GB2312"/>
          <w:sz w:val="32"/>
          <w:szCs w:val="32"/>
          <w:lang w:val="en-US" w:eastAsia="zh-CN"/>
        </w:rPr>
        <w:t>支出总计  4234.55</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相比，财政拨款收入</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支出总计各</w:t>
      </w:r>
      <w:r>
        <w:rPr>
          <w:rFonts w:hint="eastAsia" w:ascii="仿宋_GB2312" w:hAnsi="ˎ̥" w:eastAsia="仿宋_GB2312"/>
          <w:sz w:val="32"/>
          <w:szCs w:val="32"/>
        </w:rPr>
        <w:t>减少</w:t>
      </w:r>
      <w:r>
        <w:rPr>
          <w:rFonts w:hint="eastAsia" w:ascii="仿宋_GB2312" w:hAnsi="ˎ̥" w:eastAsia="仿宋_GB2312"/>
          <w:sz w:val="32"/>
          <w:szCs w:val="32"/>
          <w:lang w:val="en-US" w:eastAsia="zh-CN"/>
        </w:rPr>
        <w:t>284.90</w:t>
      </w:r>
      <w:r>
        <w:rPr>
          <w:rFonts w:hint="eastAsia" w:ascii="仿宋_GB2312" w:hAnsi="ˎ̥" w:eastAsia="仿宋_GB2312"/>
          <w:sz w:val="32"/>
          <w:szCs w:val="32"/>
        </w:rPr>
        <w:t>万元，下降</w:t>
      </w:r>
      <w:r>
        <w:rPr>
          <w:rFonts w:hint="eastAsia" w:ascii="仿宋_GB2312" w:hAnsi="ˎ̥" w:eastAsia="仿宋_GB2312"/>
          <w:sz w:val="32"/>
          <w:szCs w:val="32"/>
          <w:lang w:val="en-US" w:eastAsia="zh-CN"/>
        </w:rPr>
        <w:t>6.30</w:t>
      </w:r>
      <w:r>
        <w:rPr>
          <w:rFonts w:hint="eastAsia" w:ascii="仿宋_GB2312" w:hAnsi="ˎ̥" w:eastAsia="仿宋_GB2312"/>
          <w:sz w:val="32"/>
          <w:szCs w:val="32"/>
        </w:rPr>
        <w:t>%。主要原因：</w:t>
      </w:r>
      <w:r>
        <w:rPr>
          <w:rFonts w:hint="eastAsia" w:ascii="仿宋_GB2312" w:hAnsi="ˎ̥" w:eastAsia="仿宋_GB2312"/>
          <w:sz w:val="32"/>
          <w:szCs w:val="32"/>
          <w:lang w:eastAsia="zh-CN"/>
        </w:rPr>
        <w:t>三亚市</w:t>
      </w:r>
      <w:r>
        <w:rPr>
          <w:rFonts w:hint="eastAsia" w:ascii="仿宋_GB2312" w:hAnsi="??" w:eastAsia="仿宋_GB2312"/>
          <w:sz w:val="32"/>
          <w:szCs w:val="32"/>
        </w:rPr>
        <w:t>财政局</w:t>
      </w:r>
      <w:r>
        <w:rPr>
          <w:rFonts w:hint="eastAsia" w:ascii="仿宋_GB2312" w:hAnsi="??" w:eastAsia="仿宋_GB2312"/>
          <w:sz w:val="32"/>
          <w:szCs w:val="32"/>
          <w:lang w:eastAsia="zh-CN"/>
        </w:rPr>
        <w:t>减少</w:t>
      </w:r>
      <w:r>
        <w:rPr>
          <w:rFonts w:hint="eastAsia" w:ascii="仿宋_GB2312" w:hAnsi="??" w:eastAsia="仿宋_GB2312"/>
          <w:sz w:val="32"/>
          <w:szCs w:val="32"/>
        </w:rPr>
        <w:t>安排</w:t>
      </w:r>
      <w:r>
        <w:rPr>
          <w:rFonts w:ascii="仿宋_GB2312" w:hAnsi="??" w:eastAsia="仿宋_GB2312"/>
          <w:sz w:val="32"/>
          <w:szCs w:val="32"/>
        </w:rPr>
        <w:t>202</w:t>
      </w:r>
      <w:r>
        <w:rPr>
          <w:rFonts w:hint="eastAsia" w:ascii="仿宋_GB2312" w:hAnsi="??" w:eastAsia="仿宋_GB2312"/>
          <w:sz w:val="32"/>
          <w:szCs w:val="32"/>
          <w:lang w:val="en-US" w:eastAsia="zh-CN"/>
        </w:rPr>
        <w:t>1</w:t>
      </w:r>
      <w:r>
        <w:rPr>
          <w:rFonts w:hint="eastAsia" w:ascii="仿宋_GB2312" w:hAnsi="??" w:eastAsia="仿宋_GB2312"/>
          <w:sz w:val="32"/>
          <w:szCs w:val="32"/>
        </w:rPr>
        <w:t>年</w:t>
      </w:r>
      <w:r>
        <w:rPr>
          <w:rFonts w:hint="eastAsia" w:ascii="仿宋_GB2312" w:hAnsi="??" w:eastAsia="仿宋_GB2312"/>
          <w:sz w:val="32"/>
          <w:szCs w:val="32"/>
          <w:lang w:eastAsia="zh-CN"/>
        </w:rPr>
        <w:t>单位</w:t>
      </w:r>
      <w:r>
        <w:rPr>
          <w:rFonts w:hint="eastAsia" w:ascii="仿宋_GB2312" w:hAnsi="??" w:eastAsia="仿宋_GB2312"/>
          <w:sz w:val="32"/>
          <w:szCs w:val="32"/>
          <w:lang w:val="en-US" w:eastAsia="zh-CN"/>
        </w:rPr>
        <w:t>4条经常性项目</w:t>
      </w:r>
      <w:r>
        <w:rPr>
          <w:rFonts w:hint="eastAsia" w:ascii="仿宋_GB2312" w:hAnsi="??" w:eastAsia="仿宋_GB2312"/>
          <w:sz w:val="32"/>
          <w:szCs w:val="32"/>
          <w:lang w:eastAsia="zh-CN"/>
        </w:rPr>
        <w:t>的预算</w:t>
      </w:r>
      <w:r>
        <w:rPr>
          <w:rFonts w:hint="eastAsia" w:ascii="仿宋_GB2312" w:hAnsi="??" w:eastAsia="仿宋_GB2312"/>
          <w:sz w:val="32"/>
          <w:szCs w:val="32"/>
        </w:rPr>
        <w:t>经费</w:t>
      </w:r>
      <w:r>
        <w:rPr>
          <w:rFonts w:hint="eastAsia" w:ascii="仿宋_GB2312" w:hAnsi="ˎ̥" w:eastAsia="仿宋_GB2312"/>
          <w:sz w:val="32"/>
          <w:szCs w:val="32"/>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财政拨款年初结转结余</w:t>
      </w:r>
      <w:r>
        <w:rPr>
          <w:rFonts w:hint="eastAsia" w:ascii="仿宋_GB2312" w:hAnsi="ˎ̥" w:eastAsia="仿宋_GB2312"/>
          <w:sz w:val="32"/>
          <w:szCs w:val="32"/>
          <w:lang w:val="en-US" w:eastAsia="zh-CN"/>
        </w:rPr>
        <w:t>351.89</w:t>
      </w:r>
      <w:r>
        <w:rPr>
          <w:rFonts w:hint="eastAsia" w:ascii="仿宋_GB2312" w:hAnsi="ˎ̥" w:eastAsia="仿宋_GB2312"/>
          <w:sz w:val="32"/>
          <w:szCs w:val="32"/>
        </w:rPr>
        <w:t>万元</w:t>
      </w:r>
      <w:r>
        <w:rPr>
          <w:rFonts w:hint="eastAsia" w:ascii="仿宋_GB2312" w:hAnsi="ˎ̥" w:eastAsia="仿宋_GB2312"/>
          <w:sz w:val="32"/>
          <w:szCs w:val="32"/>
          <w:lang w:eastAsia="zh-CN"/>
        </w:rPr>
        <w:t>，主要是主要</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城市路灯维护项目年初结转结余资金</w:t>
      </w:r>
      <w:r>
        <w:rPr>
          <w:rFonts w:hint="eastAsia" w:ascii="仿宋_GB2312" w:hAnsi="ˎ̥" w:eastAsia="仿宋_GB2312"/>
          <w:sz w:val="32"/>
          <w:szCs w:val="32"/>
          <w:lang w:val="en-US" w:eastAsia="zh-CN"/>
        </w:rPr>
        <w:t>80.02万元；2、路灯灯控系统设施专项维护项目年初结转结余资金32.71万元；3、路灯高压箱变及高压线路检测项目年初结转结余资金7.20万元；4、城镇公用事业照明项目年初结转结余资金151.18万元；例年结转结余资金80.78万元。</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2020年度决算数增加271.11</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增长</w:t>
      </w:r>
      <w:r>
        <w:rPr>
          <w:rFonts w:hint="eastAsia" w:ascii="仿宋_GB2312" w:hAnsi="ˎ̥" w:eastAsia="仿宋_GB2312"/>
          <w:sz w:val="32"/>
          <w:szCs w:val="32"/>
          <w:lang w:val="en-US" w:eastAsia="zh-CN"/>
        </w:rPr>
        <w:t>335.62</w:t>
      </w:r>
      <w:r>
        <w:rPr>
          <w:rFonts w:hint="eastAsia" w:ascii="仿宋_GB2312" w:hAnsi="ˎ̥" w:eastAsia="仿宋_GB2312"/>
          <w:sz w:val="32"/>
          <w:szCs w:val="32"/>
        </w:rPr>
        <w:t>%</w:t>
      </w:r>
      <w:r>
        <w:rPr>
          <w:rFonts w:hint="eastAsia" w:ascii="仿宋_GB2312" w:hAnsi="ˎ̥" w:eastAsia="仿宋_GB2312"/>
          <w:sz w:val="32"/>
          <w:szCs w:val="32"/>
          <w:lang w:eastAsia="zh-CN"/>
        </w:rPr>
        <w:t>，主要原因是三亚市财政局返还</w:t>
      </w:r>
      <w:r>
        <w:rPr>
          <w:rFonts w:hint="eastAsia" w:ascii="仿宋_GB2312" w:hAnsi="ˎ̥" w:eastAsia="仿宋_GB2312"/>
          <w:sz w:val="32"/>
          <w:szCs w:val="32"/>
          <w:lang w:val="en-US" w:eastAsia="zh-CN"/>
        </w:rPr>
        <w:t>2020年4条项目未使用完的资金共271.11万元</w:t>
      </w:r>
      <w:r>
        <w:rPr>
          <w:rFonts w:hint="eastAsia" w:ascii="仿宋_GB2312" w:hAnsi="ˎ̥" w:eastAsia="仿宋_GB2312"/>
          <w:sz w:val="32"/>
          <w:szCs w:val="32"/>
          <w:lang w:eastAsia="zh-CN"/>
        </w:rPr>
        <w:t>。</w:t>
      </w:r>
    </w:p>
    <w:p>
      <w:pPr>
        <w:numPr>
          <w:ilvl w:val="0"/>
          <w:numId w:val="0"/>
        </w:num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财政拨款年末结转结余</w:t>
      </w:r>
      <w:r>
        <w:rPr>
          <w:rFonts w:hint="eastAsia" w:ascii="仿宋_GB2312" w:hAnsi="ˎ̥" w:eastAsia="仿宋_GB2312"/>
          <w:sz w:val="32"/>
          <w:szCs w:val="32"/>
          <w:lang w:val="en-US" w:eastAsia="zh-CN"/>
        </w:rPr>
        <w:t>80.78</w:t>
      </w:r>
      <w:r>
        <w:rPr>
          <w:rFonts w:hint="eastAsia" w:ascii="仿宋_GB2312" w:hAnsi="ˎ̥" w:eastAsia="仿宋_GB2312"/>
          <w:sz w:val="32"/>
          <w:szCs w:val="32"/>
        </w:rPr>
        <w:t>万元</w:t>
      </w:r>
      <w:r>
        <w:rPr>
          <w:rFonts w:hint="eastAsia" w:ascii="仿宋_GB2312" w:hAnsi="ˎ̥" w:eastAsia="仿宋_GB2312"/>
          <w:sz w:val="32"/>
          <w:szCs w:val="32"/>
          <w:lang w:eastAsia="zh-CN"/>
        </w:rPr>
        <w:t>，主要是例年结余资金。较</w:t>
      </w:r>
      <w:r>
        <w:rPr>
          <w:rFonts w:hint="eastAsia" w:ascii="仿宋_GB2312" w:hAnsi="ˎ̥" w:eastAsia="仿宋_GB2312"/>
          <w:sz w:val="32"/>
          <w:szCs w:val="32"/>
          <w:lang w:val="en-US" w:eastAsia="zh-CN"/>
        </w:rPr>
        <w:t>2020年度年末决算数减少326.78</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80.18</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2020年财政应返还额度4条项目未使用完余额326.78万元，2021年初使用财政应返还额度326.78万元支付职工1月工资、公积金、社会保障费及2020年工程项目结算款等。</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一般公共预算财政拨款支出决算情况说明</w:t>
      </w:r>
    </w:p>
    <w:p>
      <w:pPr>
        <w:ind w:firstLine="640" w:firstLineChars="200"/>
        <w:rPr>
          <w:rFonts w:hint="eastAsia" w:ascii="楷体" w:hAnsi="楷体" w:eastAsia="楷体" w:cs="楷体"/>
          <w:sz w:val="32"/>
          <w:szCs w:val="32"/>
          <w:lang w:eastAsia="zh-CN"/>
        </w:rPr>
      </w:pPr>
      <w:bookmarkStart w:id="77" w:name="_Toc17398_WPSOffice_Level2"/>
      <w:bookmarkStart w:id="78" w:name="_Toc13694_WPSOffice_Level2"/>
      <w:bookmarkStart w:id="79" w:name="_Toc23005_WPSOffice_Level2"/>
      <w:bookmarkStart w:id="80" w:name="_Toc21737_WPSOffice_Level2"/>
      <w:bookmarkStart w:id="81" w:name="_Toc19665_WPSOffice_Level2"/>
      <w:bookmarkStart w:id="82" w:name="_Toc9989_WPSOffice_Level2"/>
      <w:r>
        <w:rPr>
          <w:rFonts w:hint="eastAsia" w:ascii="楷体" w:hAnsi="楷体" w:eastAsia="楷体" w:cs="楷体"/>
          <w:sz w:val="32"/>
          <w:szCs w:val="32"/>
          <w:lang w:val="en-US" w:eastAsia="zh-CN"/>
        </w:rPr>
        <w:t>（一）</w:t>
      </w:r>
      <w:r>
        <w:rPr>
          <w:rFonts w:hint="eastAsia" w:ascii="楷体" w:hAnsi="楷体" w:eastAsia="楷体" w:cs="楷体"/>
          <w:sz w:val="32"/>
          <w:szCs w:val="32"/>
        </w:rPr>
        <w:t>一般公共预算财政拨款支出决算总体情况</w:t>
      </w:r>
      <w:bookmarkEnd w:id="77"/>
      <w:bookmarkEnd w:id="78"/>
      <w:r>
        <w:rPr>
          <w:rFonts w:hint="eastAsia" w:ascii="楷体" w:hAnsi="楷体" w:eastAsia="楷体" w:cs="楷体"/>
          <w:sz w:val="32"/>
          <w:szCs w:val="32"/>
          <w:lang w:eastAsia="zh-CN"/>
        </w:rPr>
        <w:t>。</w:t>
      </w:r>
      <w:bookmarkEnd w:id="79"/>
      <w:bookmarkEnd w:id="80"/>
      <w:bookmarkEnd w:id="81"/>
      <w:bookmarkEnd w:id="82"/>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4033.84</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97.11</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一般公共预算</w:t>
      </w:r>
      <w:r>
        <w:rPr>
          <w:rFonts w:hint="eastAsia" w:ascii="仿宋_GB2312" w:hAnsi="ˎ̥" w:eastAsia="仿宋_GB2312"/>
          <w:sz w:val="32"/>
          <w:szCs w:val="32"/>
        </w:rPr>
        <w:t>财政拨款支出增加</w:t>
      </w:r>
      <w:r>
        <w:rPr>
          <w:rFonts w:hint="eastAsia" w:ascii="仿宋_GB2312" w:hAnsi="ˎ̥" w:eastAsia="仿宋_GB2312"/>
          <w:sz w:val="32"/>
          <w:szCs w:val="32"/>
          <w:lang w:val="en-US" w:eastAsia="zh-CN"/>
        </w:rPr>
        <w:t>1751.93</w:t>
      </w:r>
      <w:r>
        <w:rPr>
          <w:rFonts w:hint="eastAsia" w:ascii="仿宋_GB2312" w:hAnsi="ˎ̥" w:eastAsia="仿宋_GB2312"/>
          <w:sz w:val="32"/>
          <w:szCs w:val="32"/>
        </w:rPr>
        <w:t>元，增长</w:t>
      </w:r>
      <w:r>
        <w:rPr>
          <w:rFonts w:hint="eastAsia" w:ascii="仿宋_GB2312" w:hAnsi="ˎ̥" w:eastAsia="仿宋_GB2312"/>
          <w:sz w:val="32"/>
          <w:szCs w:val="32"/>
          <w:lang w:val="en-US" w:eastAsia="zh-CN"/>
        </w:rPr>
        <w:t>76.77</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2020年有3条经常性项目为政府性基金，在2021年市财政局将3条经常性项目变更为一般公共预算，故一般公共预算财政拨款支出有所增加</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bookmarkStart w:id="83" w:name="_Toc18793_WPSOffice_Level2"/>
      <w:bookmarkStart w:id="84" w:name="_Toc2711_WPSOffice_Level2"/>
      <w:bookmarkStart w:id="85" w:name="_Toc19535_WPSOffice_Level2"/>
      <w:bookmarkStart w:id="86" w:name="_Toc19075_WPSOffice_Level2"/>
      <w:bookmarkStart w:id="87" w:name="_Toc23864_WPSOffice_Level2"/>
      <w:bookmarkStart w:id="88" w:name="_Toc27767_WPSOffice_Level2"/>
      <w:r>
        <w:rPr>
          <w:rFonts w:hint="eastAsia" w:ascii="楷体" w:hAnsi="楷体" w:eastAsia="楷体" w:cs="楷体"/>
          <w:sz w:val="32"/>
          <w:szCs w:val="32"/>
          <w:lang w:val="en-US" w:eastAsia="zh-CN"/>
        </w:rPr>
        <w:t>（二）一般公共预算</w:t>
      </w:r>
      <w:r>
        <w:rPr>
          <w:rFonts w:hint="eastAsia" w:ascii="楷体" w:hAnsi="楷体" w:eastAsia="楷体" w:cs="楷体"/>
          <w:sz w:val="32"/>
          <w:szCs w:val="32"/>
        </w:rPr>
        <w:t>财政拨款支出决算结构情况</w:t>
      </w:r>
      <w:bookmarkEnd w:id="83"/>
      <w:bookmarkEnd w:id="84"/>
      <w:r>
        <w:rPr>
          <w:rFonts w:hint="eastAsia" w:ascii="楷体" w:hAnsi="楷体" w:eastAsia="楷体" w:cs="楷体"/>
          <w:sz w:val="32"/>
          <w:szCs w:val="32"/>
          <w:lang w:eastAsia="zh-CN"/>
        </w:rPr>
        <w:t>。</w:t>
      </w:r>
      <w:bookmarkEnd w:id="85"/>
      <w:bookmarkEnd w:id="86"/>
      <w:bookmarkEnd w:id="87"/>
      <w:bookmarkEnd w:id="88"/>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4033.84</w:t>
      </w:r>
      <w:r>
        <w:rPr>
          <w:rFonts w:hint="eastAsia" w:ascii="仿宋_GB2312" w:hAnsi="ˎ̥" w:eastAsia="仿宋_GB2312"/>
          <w:sz w:val="32"/>
          <w:szCs w:val="32"/>
        </w:rPr>
        <w:t>万元，主要用于以下方面：</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2.16</w:t>
      </w:r>
      <w:r>
        <w:rPr>
          <w:rFonts w:hint="eastAsia" w:ascii="仿宋_GB2312" w:hAnsi="ˎ̥" w:eastAsia="仿宋_GB2312"/>
          <w:sz w:val="32"/>
          <w:szCs w:val="32"/>
        </w:rPr>
        <w:t>万元，占</w:t>
      </w:r>
      <w:r>
        <w:rPr>
          <w:rFonts w:hint="eastAsia" w:ascii="仿宋_GB2312" w:hAnsi="ˎ̥" w:eastAsia="仿宋_GB2312"/>
          <w:sz w:val="32"/>
          <w:szCs w:val="32"/>
          <w:lang w:val="en-US" w:eastAsia="zh-CN"/>
        </w:rPr>
        <w:t>0.05</w:t>
      </w:r>
      <w:r>
        <w:rPr>
          <w:rFonts w:hint="eastAsia" w:ascii="仿宋_GB2312" w:hAnsi="ˎ̥" w:eastAsia="仿宋_GB2312"/>
          <w:sz w:val="32"/>
          <w:szCs w:val="32"/>
        </w:rPr>
        <w:t>%；</w:t>
      </w:r>
      <w:r>
        <w:rPr>
          <w:rFonts w:hint="eastAsia" w:ascii="仿宋_GB2312" w:hAnsi="ˎ̥" w:eastAsia="仿宋_GB2312"/>
          <w:b/>
          <w:bCs/>
          <w:sz w:val="32"/>
          <w:szCs w:val="32"/>
          <w:lang w:val="en-US" w:eastAsia="zh-CN"/>
        </w:rPr>
        <w:t>卫生健康支出（类）</w:t>
      </w:r>
      <w:r>
        <w:rPr>
          <w:rFonts w:hint="eastAsia" w:ascii="仿宋_GB2312" w:hAnsi="ˎ̥" w:eastAsia="仿宋_GB2312"/>
          <w:sz w:val="32"/>
          <w:szCs w:val="32"/>
        </w:rPr>
        <w:t>支出0.97万元，占</w:t>
      </w:r>
      <w:r>
        <w:rPr>
          <w:rFonts w:hint="eastAsia" w:ascii="仿宋_GB2312" w:hAnsi="ˎ̥" w:eastAsia="仿宋_GB2312"/>
          <w:sz w:val="32"/>
          <w:szCs w:val="32"/>
          <w:lang w:val="en-US" w:eastAsia="zh-CN"/>
        </w:rPr>
        <w:t>0.02</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b/>
          <w:bCs/>
          <w:sz w:val="32"/>
          <w:szCs w:val="32"/>
          <w:lang w:eastAsia="zh-CN"/>
        </w:rPr>
        <w:t>城乡社区支出（类）</w:t>
      </w:r>
      <w:r>
        <w:rPr>
          <w:rFonts w:hint="eastAsia" w:ascii="仿宋_GB2312" w:hAnsi="ˎ̥" w:eastAsia="仿宋_GB2312"/>
          <w:b w:val="0"/>
          <w:bCs w:val="0"/>
          <w:sz w:val="32"/>
          <w:szCs w:val="32"/>
          <w:lang w:eastAsia="zh-CN"/>
        </w:rPr>
        <w:t>支出</w:t>
      </w:r>
      <w:r>
        <w:rPr>
          <w:rFonts w:hint="eastAsia" w:ascii="仿宋_GB2312" w:hAnsi="ˎ̥" w:eastAsia="仿宋_GB2312"/>
          <w:b w:val="0"/>
          <w:bCs w:val="0"/>
          <w:sz w:val="32"/>
          <w:szCs w:val="32"/>
          <w:lang w:val="en-US" w:eastAsia="zh-CN"/>
        </w:rPr>
        <w:t>4029.57</w:t>
      </w:r>
      <w:r>
        <w:rPr>
          <w:rFonts w:hint="eastAsia" w:ascii="仿宋_GB2312" w:hAnsi="ˎ̥" w:eastAsia="仿宋_GB2312"/>
          <w:b w:val="0"/>
          <w:bCs w:val="0"/>
          <w:sz w:val="32"/>
          <w:szCs w:val="32"/>
          <w:lang w:eastAsia="zh-CN"/>
        </w:rPr>
        <w:t>万元，占</w:t>
      </w:r>
      <w:r>
        <w:rPr>
          <w:rFonts w:hint="eastAsia" w:ascii="仿宋_GB2312" w:hAnsi="ˎ̥" w:eastAsia="仿宋_GB2312"/>
          <w:b w:val="0"/>
          <w:bCs w:val="0"/>
          <w:sz w:val="32"/>
          <w:szCs w:val="32"/>
          <w:lang w:val="en-US" w:eastAsia="zh-CN"/>
        </w:rPr>
        <w:t>99.9%；</w:t>
      </w:r>
      <w:r>
        <w:rPr>
          <w:rFonts w:hint="eastAsia" w:ascii="仿宋_GB2312" w:hAnsi="ˎ̥" w:eastAsia="仿宋_GB2312"/>
          <w:b/>
          <w:bCs/>
          <w:sz w:val="32"/>
          <w:szCs w:val="32"/>
          <w:lang w:val="en-US" w:eastAsia="zh-CN"/>
        </w:rPr>
        <w:t>住房保障支出（类）</w:t>
      </w:r>
      <w:r>
        <w:rPr>
          <w:rFonts w:hint="eastAsia" w:ascii="仿宋_GB2312" w:hAnsi="ˎ̥" w:eastAsia="仿宋_GB2312"/>
          <w:b w:val="0"/>
          <w:bCs w:val="0"/>
          <w:sz w:val="32"/>
          <w:szCs w:val="32"/>
          <w:lang w:val="en-US" w:eastAsia="zh-CN"/>
        </w:rPr>
        <w:t>支出1.14万元，占0.03%</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ascii="仿宋" w:hAnsi="仿宋" w:eastAsia="仿宋" w:cs="仿宋"/>
          <w:color w:val="000000"/>
          <w:sz w:val="32"/>
          <w:szCs w:val="32"/>
        </w:rPr>
        <w:object>
          <v:shape id="_x0000_i1027" o:spt="75" alt="wordml://1.emf" type="#_x0000_t75" style="height:222pt;width:366pt;" o:ole="t" filled="f" o:preferrelative="t" stroked="f" coordsize="21600,21600">
            <v:path/>
            <v:fill on="f" focussize="0,0"/>
            <v:stroke on="f"/>
            <v:imagedata r:id="rId11" o:title=""/>
            <o:lock v:ext="edit" aspectratio="t"/>
            <w10:wrap type="none"/>
            <w10:anchorlock/>
          </v:shape>
          <o:OLEObject Type="Embed" ProgID="Excel.Chart.8" ShapeID="_x0000_i1027" DrawAspect="Content" ObjectID="_1468075727" r:id="rId10">
            <o:LockedField>false</o:LockedField>
          </o:OLEObject>
        </w:object>
      </w:r>
    </w:p>
    <w:p>
      <w:pPr>
        <w:ind w:firstLine="640" w:firstLineChars="200"/>
        <w:rPr>
          <w:rFonts w:hint="eastAsia" w:ascii="仿宋_GB2312" w:hAnsi="ˎ̥" w:eastAsia="仿宋_GB2312"/>
          <w:sz w:val="32"/>
          <w:szCs w:val="32"/>
        </w:rPr>
      </w:pPr>
    </w:p>
    <w:p>
      <w:pPr>
        <w:ind w:firstLine="640" w:firstLineChars="200"/>
        <w:rPr>
          <w:rFonts w:hint="eastAsia" w:ascii="楷体" w:hAnsi="楷体" w:eastAsia="楷体" w:cs="楷体"/>
          <w:sz w:val="32"/>
          <w:szCs w:val="32"/>
        </w:rPr>
      </w:pPr>
      <w:bookmarkStart w:id="89" w:name="_Toc15415_WPSOffice_Level2"/>
      <w:bookmarkStart w:id="90" w:name="_Toc21701_WPSOffice_Level2"/>
      <w:bookmarkStart w:id="91" w:name="_Toc29364_WPSOffice_Level2"/>
      <w:bookmarkStart w:id="92" w:name="_Toc25136_WPSOffice_Level2"/>
      <w:bookmarkStart w:id="93" w:name="_Toc9502_WPSOffice_Level2"/>
      <w:bookmarkStart w:id="94" w:name="_Toc22318_WPSOffice_Level2"/>
      <w:r>
        <w:rPr>
          <w:rFonts w:hint="eastAsia" w:ascii="楷体" w:hAnsi="楷体" w:eastAsia="楷体" w:cs="楷体"/>
          <w:sz w:val="32"/>
          <w:szCs w:val="32"/>
          <w:lang w:val="en-US" w:eastAsia="zh-CN"/>
        </w:rPr>
        <w:t>（三）一般公共预算</w:t>
      </w:r>
      <w:r>
        <w:rPr>
          <w:rFonts w:hint="eastAsia" w:ascii="楷体" w:hAnsi="楷体" w:eastAsia="楷体" w:cs="楷体"/>
          <w:sz w:val="32"/>
          <w:szCs w:val="32"/>
        </w:rPr>
        <w:t>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年度一般公共预算</w:t>
      </w:r>
      <w:r>
        <w:rPr>
          <w:rFonts w:hint="eastAsia" w:ascii="仿宋_GB2312" w:hAnsi="ˎ̥" w:eastAsia="仿宋_GB2312"/>
          <w:sz w:val="32"/>
          <w:szCs w:val="32"/>
        </w:rPr>
        <w:t>财政拨款支出年初预算为</w:t>
      </w:r>
      <w:r>
        <w:rPr>
          <w:rFonts w:hint="eastAsia" w:ascii="仿宋_GB2312" w:hAnsi="ˎ̥" w:eastAsia="仿宋_GB2312"/>
          <w:sz w:val="32"/>
          <w:szCs w:val="32"/>
          <w:lang w:val="en-US" w:eastAsia="zh-CN"/>
        </w:rPr>
        <w:t>4463.53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4033.84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90.37</w:t>
      </w:r>
      <w:r>
        <w:rPr>
          <w:rFonts w:hint="eastAsia" w:ascii="仿宋_GB2312" w:hAnsi="ˎ̥" w:eastAsia="仿宋_GB2312"/>
          <w:sz w:val="32"/>
          <w:szCs w:val="32"/>
        </w:rPr>
        <w:t>%。其中：</w:t>
      </w:r>
    </w:p>
    <w:p>
      <w:pPr>
        <w:ind w:firstLine="640" w:firstLineChars="200"/>
        <w:rPr>
          <w:rFonts w:hint="eastAsia" w:ascii="仿宋_GB2312" w:hAnsi="ˎ̥" w:eastAsia="仿宋_GB2312"/>
          <w:b/>
          <w:sz w:val="32"/>
          <w:szCs w:val="32"/>
        </w:rPr>
      </w:pPr>
      <w:r>
        <w:rPr>
          <w:rFonts w:hint="eastAsia" w:ascii="仿宋_GB2312" w:hAnsi="ˎ̥" w:eastAsia="仿宋_GB2312"/>
          <w:b/>
          <w:bCs/>
          <w:sz w:val="32"/>
          <w:szCs w:val="32"/>
          <w:lang w:val="en-US" w:eastAsia="zh-CN"/>
        </w:rPr>
        <w:t>1.</w:t>
      </w:r>
      <w:r>
        <w:rPr>
          <w:rFonts w:hint="eastAsia" w:ascii="仿宋_GB2312" w:hAnsi="ˎ̥" w:eastAsia="仿宋_GB2312"/>
          <w:b/>
          <w:sz w:val="32"/>
          <w:szCs w:val="32"/>
        </w:rPr>
        <w:t>社会保障和就业支出（类）行政事业单位养老支出（款）机关事业单位基本养老保险缴费支出（项）。</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3.89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1.44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37.02</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val="en-US" w:eastAsia="zh-CN"/>
        </w:rPr>
        <w:t>2021年1月全额拨款人员方宝珊调到其他单位，其养老保险缴费预算资金已下达至本单位。</w:t>
      </w:r>
    </w:p>
    <w:p>
      <w:pPr>
        <w:ind w:firstLine="640" w:firstLineChars="200"/>
        <w:rPr>
          <w:rFonts w:hint="eastAsia" w:ascii="仿宋_GB2312" w:hAnsi="ˎ̥" w:eastAsia="仿宋_GB2312"/>
          <w:b/>
          <w:bCs w:val="0"/>
          <w:sz w:val="32"/>
          <w:szCs w:val="32"/>
        </w:rPr>
      </w:pPr>
      <w:r>
        <w:rPr>
          <w:rFonts w:hint="eastAsia" w:ascii="仿宋_GB2312" w:hAnsi="ˎ̥" w:eastAsia="仿宋_GB2312"/>
          <w:b/>
          <w:bCs/>
          <w:sz w:val="32"/>
          <w:szCs w:val="32"/>
          <w:lang w:val="en-US" w:eastAsia="zh-CN"/>
        </w:rPr>
        <w:t>2.</w:t>
      </w:r>
      <w:r>
        <w:rPr>
          <w:rFonts w:hint="eastAsia" w:ascii="仿宋_GB2312" w:hAnsi="ˎ̥" w:eastAsia="仿宋_GB2312"/>
          <w:b/>
          <w:bCs w:val="0"/>
          <w:sz w:val="32"/>
          <w:szCs w:val="32"/>
        </w:rPr>
        <w:t>社会保障和就业支出（类）行政事业单位养老支出（款）</w:t>
      </w:r>
    </w:p>
    <w:p>
      <w:pPr>
        <w:ind w:firstLine="640" w:firstLineChars="200"/>
        <w:rPr>
          <w:rFonts w:hint="eastAsia" w:ascii="仿宋_GB2312" w:hAnsi="ˎ̥" w:eastAsia="仿宋_GB2312"/>
          <w:b/>
          <w:bCs w:val="0"/>
          <w:sz w:val="32"/>
          <w:szCs w:val="32"/>
          <w:lang w:eastAsia="zh-CN"/>
        </w:rPr>
      </w:pPr>
      <w:r>
        <w:rPr>
          <w:rFonts w:hint="eastAsia" w:ascii="仿宋_GB2312" w:hAnsi="ˎ̥" w:eastAsia="仿宋_GB2312"/>
          <w:b/>
          <w:bCs w:val="0"/>
          <w:sz w:val="32"/>
          <w:szCs w:val="32"/>
        </w:rPr>
        <w:t>机关事业单位职业年金缴费支出</w:t>
      </w:r>
      <w:r>
        <w:rPr>
          <w:rFonts w:hint="eastAsia" w:ascii="仿宋_GB2312" w:hAnsi="ˎ̥" w:eastAsia="仿宋_GB2312"/>
          <w:b/>
          <w:bCs w:val="0"/>
          <w:sz w:val="32"/>
          <w:szCs w:val="32"/>
          <w:lang w:eastAsia="zh-CN"/>
        </w:rPr>
        <w:t>（项）</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1.69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0.72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42.60</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val="en-US" w:eastAsia="zh-CN"/>
        </w:rPr>
        <w:t>2021年1月全额拨款人员方宝珊调到其他单位，其职业年金缴费预算资金已下达至本单位。</w:t>
      </w:r>
    </w:p>
    <w:p>
      <w:pPr>
        <w:numPr>
          <w:ilvl w:val="0"/>
          <w:numId w:val="4"/>
        </w:numPr>
        <w:ind w:firstLine="640" w:firstLineChars="200"/>
        <w:rPr>
          <w:rFonts w:hint="eastAsia" w:ascii="仿宋_GB2312" w:hAnsi="ˎ̥" w:eastAsia="仿宋_GB2312"/>
          <w:b/>
          <w:sz w:val="32"/>
          <w:szCs w:val="32"/>
          <w:lang w:eastAsia="zh-CN"/>
        </w:rPr>
      </w:pPr>
      <w:r>
        <w:rPr>
          <w:rFonts w:hint="eastAsia" w:ascii="仿宋_GB2312" w:hAnsi="ˎ̥" w:eastAsia="仿宋_GB2312"/>
          <w:b/>
          <w:bCs w:val="0"/>
          <w:sz w:val="32"/>
          <w:szCs w:val="32"/>
          <w:lang w:val="en-US" w:eastAsia="zh-CN"/>
        </w:rPr>
        <w:t>卫生健康支出</w:t>
      </w:r>
      <w:r>
        <w:rPr>
          <w:rFonts w:hint="eastAsia" w:ascii="仿宋_GB2312" w:hAnsi="ˎ̥" w:eastAsia="仿宋_GB2312"/>
          <w:b/>
          <w:sz w:val="32"/>
          <w:szCs w:val="32"/>
        </w:rPr>
        <w:t>（类）行政事业单位医疗</w:t>
      </w:r>
      <w:r>
        <w:rPr>
          <w:rFonts w:hint="eastAsia" w:ascii="仿宋_GB2312" w:hAnsi="ˎ̥" w:eastAsia="仿宋_GB2312"/>
          <w:b/>
          <w:sz w:val="32"/>
          <w:szCs w:val="32"/>
          <w:lang w:eastAsia="zh-CN"/>
        </w:rPr>
        <w:t>（款）</w:t>
      </w:r>
      <w:r>
        <w:rPr>
          <w:rFonts w:hint="eastAsia" w:ascii="仿宋_GB2312" w:hAnsi="ˎ̥" w:eastAsia="仿宋_GB2312"/>
          <w:b/>
          <w:sz w:val="32"/>
          <w:szCs w:val="32"/>
        </w:rPr>
        <w:t>事业单位医疗</w:t>
      </w:r>
      <w:r>
        <w:rPr>
          <w:rFonts w:hint="eastAsia" w:ascii="仿宋_GB2312" w:hAnsi="ˎ̥" w:eastAsia="仿宋_GB2312"/>
          <w:b/>
          <w:sz w:val="32"/>
          <w:szCs w:val="32"/>
          <w:lang w:eastAsia="zh-CN"/>
        </w:rPr>
        <w:t>（项）</w:t>
      </w:r>
    </w:p>
    <w:p>
      <w:pPr>
        <w:numPr>
          <w:ilvl w:val="0"/>
          <w:numId w:val="0"/>
        </w:numPr>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2.07</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0.77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37.20</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val="en-US" w:eastAsia="zh-CN"/>
        </w:rPr>
        <w:t>2021年1月全额拨款人员方宝珊调到其他单位，但其医疗保险缴费预算资金已下达至本单位。</w:t>
      </w:r>
    </w:p>
    <w:p>
      <w:pPr>
        <w:numPr>
          <w:ilvl w:val="0"/>
          <w:numId w:val="4"/>
        </w:numPr>
        <w:ind w:firstLine="640" w:firstLineChars="200"/>
        <w:rPr>
          <w:rFonts w:hint="eastAsia" w:ascii="仿宋_GB2312" w:hAnsi="ˎ̥" w:eastAsia="仿宋_GB2312"/>
          <w:b/>
          <w:sz w:val="32"/>
          <w:szCs w:val="32"/>
          <w:lang w:eastAsia="zh-CN"/>
        </w:rPr>
      </w:pPr>
      <w:r>
        <w:rPr>
          <w:rFonts w:hint="eastAsia" w:ascii="仿宋_GB2312" w:hAnsi="ˎ̥" w:eastAsia="仿宋_GB2312"/>
          <w:b/>
          <w:bCs w:val="0"/>
          <w:sz w:val="32"/>
          <w:szCs w:val="32"/>
          <w:lang w:val="en-US" w:eastAsia="zh-CN"/>
        </w:rPr>
        <w:t>卫生健康支出</w:t>
      </w:r>
      <w:r>
        <w:rPr>
          <w:rFonts w:hint="eastAsia" w:ascii="仿宋_GB2312" w:hAnsi="ˎ̥" w:eastAsia="仿宋_GB2312"/>
          <w:b/>
          <w:sz w:val="32"/>
          <w:szCs w:val="32"/>
        </w:rPr>
        <w:t>（类）其他卫生健康支出</w:t>
      </w:r>
      <w:r>
        <w:rPr>
          <w:rFonts w:hint="eastAsia" w:ascii="仿宋_GB2312" w:hAnsi="ˎ̥" w:eastAsia="仿宋_GB2312"/>
          <w:b/>
          <w:sz w:val="32"/>
          <w:szCs w:val="32"/>
          <w:lang w:eastAsia="zh-CN"/>
        </w:rPr>
        <w:t>（款）</w:t>
      </w:r>
      <w:r>
        <w:rPr>
          <w:rFonts w:hint="eastAsia" w:ascii="仿宋_GB2312" w:hAnsi="ˎ̥" w:eastAsia="仿宋_GB2312"/>
          <w:b/>
          <w:sz w:val="32"/>
          <w:szCs w:val="32"/>
        </w:rPr>
        <w:t>其他卫生健康支出</w:t>
      </w:r>
      <w:r>
        <w:rPr>
          <w:rFonts w:hint="eastAsia" w:ascii="仿宋_GB2312" w:hAnsi="ˎ̥" w:eastAsia="仿宋_GB2312"/>
          <w:b/>
          <w:sz w:val="32"/>
          <w:szCs w:val="32"/>
          <w:lang w:eastAsia="zh-CN"/>
        </w:rPr>
        <w:t>（项）</w:t>
      </w:r>
    </w:p>
    <w:p>
      <w:pPr>
        <w:numPr>
          <w:ilvl w:val="0"/>
          <w:numId w:val="0"/>
        </w:numPr>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4.25</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4.71</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val="en-US" w:eastAsia="zh-CN"/>
        </w:rPr>
        <w:t>1、2021年有2名人员未做体检。2、本单位性质为定额拨款的事业单位，单位领导人经费为财政全额核拨。社保局根据单位性质来确定是否符合缴纳公务员医疗补助的条件，因单位性质不属于全额拨款的事业单位，所以社保局不接收该笔资金，无法给予人员缴纳公务员医疗补助。</w:t>
      </w:r>
    </w:p>
    <w:p>
      <w:pPr>
        <w:numPr>
          <w:ilvl w:val="0"/>
          <w:numId w:val="4"/>
        </w:numPr>
        <w:ind w:firstLine="640" w:firstLineChars="20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城乡社区支出（类）城乡社区管理事务（款）其他城乡社区管理事务支出（项）</w:t>
      </w:r>
    </w:p>
    <w:p>
      <w:pPr>
        <w:numPr>
          <w:ilvl w:val="0"/>
          <w:numId w:val="0"/>
        </w:numPr>
        <w:rPr>
          <w:rFonts w:hint="eastAsia" w:ascii="仿宋_GB2312" w:hAnsi="??" w:eastAsia="仿宋_GB2312"/>
          <w:sz w:val="32"/>
          <w:szCs w:val="32"/>
          <w:highlight w:val="none"/>
          <w:lang w:val="en-US" w:eastAsia="zh-CN"/>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57.62</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29.22</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50.71</w:t>
      </w:r>
      <w:r>
        <w:rPr>
          <w:rFonts w:hint="eastAsia" w:ascii="仿宋_GB2312" w:hAnsi="ˎ̥" w:eastAsia="仿宋_GB2312"/>
          <w:sz w:val="32"/>
          <w:szCs w:val="32"/>
        </w:rPr>
        <w:t>%。决算数</w:t>
      </w:r>
      <w:r>
        <w:rPr>
          <w:rFonts w:hint="eastAsia" w:ascii="仿宋_GB2312" w:hAnsi="ˎ̥" w:eastAsia="仿宋_GB2312"/>
          <w:sz w:val="32"/>
          <w:szCs w:val="32"/>
          <w:lang w:val="en-US" w:eastAsia="zh-CN"/>
        </w:rPr>
        <w:t>小于</w:t>
      </w:r>
      <w:r>
        <w:rPr>
          <w:rFonts w:hint="eastAsia" w:ascii="仿宋_GB2312" w:hAnsi="ˎ̥" w:eastAsia="仿宋_GB2312"/>
          <w:sz w:val="32"/>
          <w:szCs w:val="32"/>
        </w:rPr>
        <w:t>预算数的主要原因：</w:t>
      </w:r>
      <w:r>
        <w:rPr>
          <w:rFonts w:hint="eastAsia" w:ascii="仿宋_GB2312" w:hAnsi="ˎ̥" w:eastAsia="仿宋_GB2312"/>
          <w:sz w:val="32"/>
          <w:szCs w:val="32"/>
          <w:lang w:val="en-US" w:eastAsia="zh-CN"/>
        </w:rPr>
        <w:t>2021年1月全额拨款人员方宝珊调到其他单位，其岗位、津贴、绩效工资等均已下达至本单位。</w:t>
      </w:r>
    </w:p>
    <w:p>
      <w:pPr>
        <w:numPr>
          <w:ilvl w:val="0"/>
          <w:numId w:val="0"/>
        </w:numPr>
        <w:ind w:firstLine="640"/>
        <w:rPr>
          <w:rFonts w:hint="eastAsia" w:ascii="仿宋_GB2312" w:hAnsi="ˎ̥" w:eastAsia="仿宋_GB2312"/>
          <w:b/>
          <w:bCs/>
          <w:sz w:val="32"/>
          <w:szCs w:val="32"/>
          <w:lang w:val="en-US" w:eastAsia="zh-CN"/>
        </w:rPr>
      </w:pPr>
      <w:r>
        <w:rPr>
          <w:rFonts w:hint="eastAsia" w:ascii="仿宋_GB2312" w:hAnsi="ˎ̥" w:eastAsia="仿宋_GB2312"/>
          <w:b/>
          <w:bCs/>
          <w:sz w:val="32"/>
          <w:szCs w:val="32"/>
          <w:lang w:val="en-US" w:eastAsia="zh-CN"/>
        </w:rPr>
        <w:t>6、城乡社区支出（类）城乡社区环境卫生（款）城乡社区环境卫生（项）</w:t>
      </w:r>
    </w:p>
    <w:p>
      <w:pPr>
        <w:numPr>
          <w:ilvl w:val="0"/>
          <w:numId w:val="0"/>
        </w:numPr>
        <w:rPr>
          <w:rFonts w:hint="eastAsia" w:ascii="仿宋_GB2312" w:hAnsi="ˎ̥" w:eastAsia="仿宋_GB2312"/>
          <w:sz w:val="32"/>
          <w:szCs w:val="32"/>
          <w:lang w:eastAsia="zh-CN"/>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5.46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5.46</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决算数与预算数持平。</w:t>
      </w:r>
    </w:p>
    <w:p>
      <w:pPr>
        <w:numPr>
          <w:ilvl w:val="0"/>
          <w:numId w:val="0"/>
        </w:numPr>
        <w:ind w:firstLine="640"/>
        <w:rPr>
          <w:rFonts w:hint="eastAsia" w:ascii="仿宋_GB2312" w:hAnsi="ˎ̥" w:eastAsia="仿宋_GB2312"/>
          <w:b/>
          <w:bCs/>
          <w:sz w:val="32"/>
          <w:szCs w:val="32"/>
          <w:lang w:eastAsia="zh-CN"/>
        </w:rPr>
      </w:pPr>
      <w:r>
        <w:rPr>
          <w:rFonts w:hint="eastAsia" w:ascii="仿宋_GB2312" w:hAnsi="ˎ̥" w:eastAsia="仿宋_GB2312"/>
          <w:b/>
          <w:bCs/>
          <w:sz w:val="32"/>
          <w:szCs w:val="32"/>
          <w:lang w:val="en-US" w:eastAsia="zh-CN"/>
        </w:rPr>
        <w:t>7、城乡社区支出</w:t>
      </w:r>
      <w:r>
        <w:rPr>
          <w:rFonts w:hint="eastAsia" w:ascii="仿宋_GB2312" w:hAnsi="ˎ̥" w:eastAsia="仿宋_GB2312"/>
          <w:b/>
          <w:bCs/>
          <w:sz w:val="32"/>
          <w:szCs w:val="32"/>
          <w:lang w:eastAsia="zh-CN"/>
        </w:rPr>
        <w:t>（类）其他城乡社区支出（款）其他城乡社区支出（项）</w:t>
      </w:r>
    </w:p>
    <w:p>
      <w:pPr>
        <w:ind w:firstLine="31680" w:firstLineChars="200"/>
        <w:rPr>
          <w:rFonts w:hint="eastAsia" w:ascii="仿宋_GB2312" w:hAnsi="??"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4385.54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3994.89</w:t>
      </w:r>
      <w:r>
        <w:rPr>
          <w:rFonts w:hint="eastAsia" w:ascii="仿宋_GB2312" w:hAnsi="ˎ̥" w:eastAsia="仿宋_GB2312"/>
          <w:sz w:val="32"/>
          <w:szCs w:val="32"/>
        </w:rPr>
        <w:t>万元，</w:t>
      </w:r>
      <w:r>
        <w:rPr>
          <w:rFonts w:hint="eastAsia" w:ascii="仿宋_GB2312" w:hAnsi="ˎ̥" w:eastAsia="仿宋_GB2312"/>
          <w:sz w:val="32"/>
          <w:szCs w:val="32"/>
          <w:lang w:eastAsia="zh-CN"/>
        </w:rPr>
        <w:t>完成预算数的</w:t>
      </w:r>
      <w:r>
        <w:rPr>
          <w:rFonts w:hint="eastAsia" w:ascii="仿宋_GB2312" w:hAnsi="ˎ̥" w:eastAsia="仿宋_GB2312"/>
          <w:sz w:val="32"/>
          <w:szCs w:val="32"/>
          <w:lang w:val="en-US" w:eastAsia="zh-CN"/>
        </w:rPr>
        <w:t>91.09%。</w:t>
      </w:r>
      <w:r>
        <w:rPr>
          <w:rFonts w:hint="eastAsia" w:ascii="仿宋_GB2312" w:hAnsi="ˎ̥" w:eastAsia="仿宋_GB2312"/>
          <w:sz w:val="32"/>
          <w:szCs w:val="32"/>
          <w:lang w:eastAsia="zh-CN"/>
        </w:rPr>
        <w:t>决算数小于预算数的主要原因：</w:t>
      </w:r>
      <w:r>
        <w:rPr>
          <w:rFonts w:hint="eastAsia" w:ascii="仿宋_GB2312" w:hAnsi="??" w:eastAsia="仿宋_GB2312"/>
          <w:sz w:val="32"/>
          <w:szCs w:val="32"/>
        </w:rPr>
        <w:t>认真贯彻落实中央八项规定精神和厉行节约的要求，从严控制部分</w:t>
      </w:r>
      <w:r>
        <w:rPr>
          <w:rFonts w:hint="eastAsia" w:ascii="仿宋_GB2312" w:hAnsi="??" w:eastAsia="仿宋_GB2312"/>
          <w:sz w:val="32"/>
          <w:szCs w:val="32"/>
          <w:lang w:eastAsia="zh-CN"/>
        </w:rPr>
        <w:t>项目</w:t>
      </w:r>
      <w:r>
        <w:rPr>
          <w:rFonts w:hint="eastAsia" w:ascii="仿宋_GB2312" w:hAnsi="??" w:eastAsia="仿宋_GB2312"/>
          <w:sz w:val="32"/>
          <w:szCs w:val="32"/>
        </w:rPr>
        <w:t>经费开支。</w:t>
      </w:r>
    </w:p>
    <w:p>
      <w:pPr>
        <w:ind w:firstLine="31680" w:firstLineChars="200"/>
        <w:rPr>
          <w:rFonts w:hint="eastAsia" w:ascii="仿宋_GB2312" w:hAnsi="??" w:eastAsia="仿宋_GB2312"/>
          <w:b/>
          <w:bCs/>
          <w:sz w:val="32"/>
          <w:szCs w:val="32"/>
          <w:lang w:val="en-US" w:eastAsia="zh-CN"/>
        </w:rPr>
      </w:pPr>
      <w:r>
        <w:rPr>
          <w:rFonts w:hint="eastAsia" w:ascii="仿宋_GB2312" w:hAnsi="??" w:eastAsia="仿宋_GB2312"/>
          <w:b/>
          <w:bCs/>
          <w:sz w:val="32"/>
          <w:szCs w:val="32"/>
          <w:lang w:val="en-US" w:eastAsia="zh-CN"/>
        </w:rPr>
        <w:t>8、住房保障支出（类）住房改革支出</w:t>
      </w:r>
      <w:r>
        <w:rPr>
          <w:rFonts w:hint="eastAsia" w:ascii="仿宋_GB2312" w:hAnsi="ˎ̥" w:eastAsia="仿宋_GB2312"/>
          <w:b/>
          <w:bCs/>
          <w:sz w:val="32"/>
          <w:szCs w:val="32"/>
          <w:lang w:eastAsia="zh-CN"/>
        </w:rPr>
        <w:t>（款）住房公积金（项）</w:t>
      </w:r>
    </w:p>
    <w:p>
      <w:pPr>
        <w:ind w:firstLine="31680" w:firstLineChars="200"/>
        <w:rPr>
          <w:rFonts w:hint="eastAsia" w:ascii="仿宋_GB2312" w:hAnsi="ˎ̥" w:eastAsia="仿宋_GB2312"/>
          <w:sz w:val="32"/>
          <w:szCs w:val="32"/>
          <w:lang w:val="en-US" w:eastAsia="zh-CN"/>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3.01</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1.14</w:t>
      </w:r>
      <w:r>
        <w:rPr>
          <w:rFonts w:hint="eastAsia" w:ascii="仿宋_GB2312" w:hAnsi="ˎ̥" w:eastAsia="仿宋_GB2312"/>
          <w:sz w:val="32"/>
          <w:szCs w:val="32"/>
        </w:rPr>
        <w:t>万元，</w:t>
      </w:r>
      <w:r>
        <w:rPr>
          <w:rFonts w:hint="eastAsia" w:ascii="仿宋_GB2312" w:hAnsi="ˎ̥" w:eastAsia="仿宋_GB2312"/>
          <w:sz w:val="32"/>
          <w:szCs w:val="32"/>
          <w:lang w:eastAsia="zh-CN"/>
        </w:rPr>
        <w:t>完成预算数的</w:t>
      </w:r>
      <w:r>
        <w:rPr>
          <w:rFonts w:hint="eastAsia" w:ascii="仿宋_GB2312" w:hAnsi="ˎ̥" w:eastAsia="仿宋_GB2312"/>
          <w:sz w:val="32"/>
          <w:szCs w:val="32"/>
          <w:lang w:val="en-US" w:eastAsia="zh-CN"/>
        </w:rPr>
        <w:t>37.87%。</w:t>
      </w:r>
      <w:r>
        <w:rPr>
          <w:rFonts w:hint="eastAsia" w:ascii="仿宋_GB2312" w:hAnsi="ˎ̥" w:eastAsia="仿宋_GB2312"/>
          <w:sz w:val="32"/>
          <w:szCs w:val="32"/>
          <w:lang w:eastAsia="zh-CN"/>
        </w:rPr>
        <w:t>决算数小于预算数的主要原因：</w:t>
      </w:r>
      <w:r>
        <w:rPr>
          <w:rFonts w:hint="eastAsia" w:ascii="仿宋_GB2312" w:hAnsi="ˎ̥" w:eastAsia="仿宋_GB2312"/>
          <w:sz w:val="32"/>
          <w:szCs w:val="32"/>
          <w:lang w:val="en-US" w:eastAsia="zh-CN"/>
        </w:rPr>
        <w:t>2021年1月全额拨款人员方宝珊调到其他单位，但其</w:t>
      </w:r>
      <w:r>
        <w:rPr>
          <w:rFonts w:hint="eastAsia" w:ascii="仿宋_GB2312" w:hAnsi="ˎ̥" w:eastAsia="仿宋_GB2312"/>
          <w:b w:val="0"/>
          <w:bCs w:val="0"/>
          <w:sz w:val="32"/>
          <w:szCs w:val="32"/>
          <w:lang w:eastAsia="zh-CN"/>
        </w:rPr>
        <w:t>住房公积金</w:t>
      </w:r>
      <w:r>
        <w:rPr>
          <w:rFonts w:hint="eastAsia" w:ascii="仿宋_GB2312" w:hAnsi="ˎ̥" w:eastAsia="仿宋_GB2312"/>
          <w:sz w:val="32"/>
          <w:szCs w:val="32"/>
          <w:lang w:val="en-US" w:eastAsia="zh-CN"/>
        </w:rPr>
        <w:t>缴费预算资金已下达至本单位。</w:t>
      </w:r>
    </w:p>
    <w:p>
      <w:pPr>
        <w:ind w:firstLine="627" w:firstLineChars="196"/>
        <w:rPr>
          <w:rFonts w:hint="eastAsia" w:ascii="黑体" w:hAnsi="黑体" w:eastAsia="黑体" w:cs="黑体"/>
          <w:sz w:val="32"/>
          <w:szCs w:val="32"/>
          <w:lang w:eastAsia="zh-CN"/>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一般公共预算财政拨款基本支出决算情况说明</w:t>
      </w:r>
      <w:r>
        <w:rPr>
          <w:rFonts w:hint="eastAsia" w:ascii="黑体" w:hAnsi="黑体" w:eastAsia="黑体" w:cs="黑体"/>
          <w:b w:val="0"/>
          <w:bCs/>
          <w:sz w:val="32"/>
          <w:szCs w:val="32"/>
          <w:lang w:eastAsia="zh-CN"/>
        </w:rPr>
        <w:t>。</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财政拨款基本支出</w:t>
      </w:r>
      <w:r>
        <w:rPr>
          <w:rFonts w:hint="eastAsia" w:ascii="仿宋_GB2312" w:hAnsi="ˎ̥" w:eastAsia="仿宋_GB2312"/>
          <w:sz w:val="32"/>
          <w:szCs w:val="32"/>
          <w:lang w:val="en-US" w:eastAsia="zh-CN"/>
        </w:rPr>
        <w:t>22.60</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20.84</w:t>
      </w:r>
      <w:r>
        <w:rPr>
          <w:rFonts w:hint="eastAsia" w:ascii="仿宋_GB2312" w:hAnsi="ˎ̥" w:eastAsia="仿宋_GB2312"/>
          <w:sz w:val="32"/>
          <w:szCs w:val="32"/>
        </w:rPr>
        <w:t>万元，主要包括：</w:t>
      </w:r>
      <w:r>
        <w:rPr>
          <w:rFonts w:hint="eastAsia" w:ascii="仿宋_GB2312" w:hAnsi="ˎ̥" w:eastAsia="仿宋_GB2312"/>
          <w:sz w:val="32"/>
          <w:szCs w:val="32"/>
          <w:lang w:eastAsia="zh-CN"/>
        </w:rPr>
        <w:t>工资福利支出中的</w:t>
      </w:r>
      <w:r>
        <w:rPr>
          <w:rFonts w:hint="eastAsia" w:ascii="仿宋_GB2312" w:hAnsi="ˎ̥" w:eastAsia="仿宋_GB2312"/>
          <w:sz w:val="32"/>
          <w:szCs w:val="32"/>
        </w:rPr>
        <w:t>基本工资、津贴补贴、绩效工资、</w:t>
      </w:r>
      <w:r>
        <w:rPr>
          <w:rFonts w:hint="eastAsia" w:ascii="仿宋_GB2312" w:hAnsi="ˎ̥" w:eastAsia="仿宋_GB2312"/>
          <w:sz w:val="32"/>
          <w:szCs w:val="32"/>
          <w:lang w:eastAsia="zh-CN"/>
        </w:rPr>
        <w:t>机关事业单位基本养老保险缴费、职业年金缴费、职工基本医疗保险缴费、其他社会保障缴费、住房公积金、医疗费；</w:t>
      </w:r>
      <w:r>
        <w:rPr>
          <w:rFonts w:hint="eastAsia" w:ascii="仿宋_GB2312" w:hAnsi="ˎ̥" w:eastAsia="仿宋_GB2312"/>
          <w:sz w:val="32"/>
          <w:szCs w:val="32"/>
        </w:rPr>
        <w:t>公用经费</w:t>
      </w:r>
      <w:r>
        <w:rPr>
          <w:rFonts w:hint="eastAsia" w:ascii="仿宋_GB2312" w:hAnsi="ˎ̥" w:eastAsia="仿宋_GB2312"/>
          <w:sz w:val="32"/>
          <w:szCs w:val="32"/>
          <w:lang w:val="en-US" w:eastAsia="zh-CN"/>
        </w:rPr>
        <w:t>1.76</w:t>
      </w:r>
      <w:r>
        <w:rPr>
          <w:rFonts w:hint="eastAsia" w:ascii="仿宋_GB2312" w:hAnsi="ˎ̥" w:eastAsia="仿宋_GB2312"/>
          <w:sz w:val="32"/>
          <w:szCs w:val="32"/>
        </w:rPr>
        <w:t>万元，主要包括：</w:t>
      </w:r>
      <w:r>
        <w:rPr>
          <w:rFonts w:hint="eastAsia" w:ascii="仿宋_GB2312" w:hAnsi="ˎ̥" w:eastAsia="仿宋_GB2312"/>
          <w:sz w:val="32"/>
          <w:szCs w:val="32"/>
          <w:lang w:eastAsia="zh-CN"/>
        </w:rPr>
        <w:t>商品和服务支出中的</w:t>
      </w:r>
      <w:r>
        <w:rPr>
          <w:rFonts w:hint="eastAsia" w:ascii="仿宋_GB2312" w:hAnsi="ˎ̥" w:eastAsia="仿宋_GB2312"/>
          <w:sz w:val="32"/>
          <w:szCs w:val="32"/>
        </w:rPr>
        <w:t>办公费、邮电费、培训费、工会经费</w:t>
      </w:r>
      <w:r>
        <w:rPr>
          <w:rFonts w:hint="eastAsia" w:ascii="仿宋_GB2312" w:hAnsi="ˎ̥" w:eastAsia="仿宋_GB2312"/>
          <w:sz w:val="32"/>
          <w:szCs w:val="32"/>
          <w:lang w:eastAsia="zh-CN"/>
        </w:rPr>
        <w:t>、其他商品和服务</w:t>
      </w:r>
      <w:r>
        <w:rPr>
          <w:rFonts w:hint="eastAsia" w:ascii="仿宋_GB2312" w:hAnsi="ˎ̥" w:eastAsia="仿宋_GB2312"/>
          <w:sz w:val="32"/>
          <w:szCs w:val="32"/>
        </w:rPr>
        <w:t>。</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七、政府性基金预算财政拨款支出决算情况说明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政府性基金</w:t>
      </w:r>
      <w:r>
        <w:rPr>
          <w:rFonts w:hint="eastAsia" w:ascii="楷体" w:hAnsi="楷体" w:eastAsia="楷体" w:cs="楷体"/>
          <w:sz w:val="32"/>
          <w:szCs w:val="32"/>
        </w:rPr>
        <w:t>预算财政拨款支出决算总体情况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政府性基金预算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减少1823.53</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2020年有3条经常性项目为政府性基金，在2021年市财政局将3条经常性项目变更为一般公共预算，故政府性基金减少。</w:t>
      </w:r>
    </w:p>
    <w:p>
      <w:pPr>
        <w:keepNext w:val="0"/>
        <w:keepLines w:val="0"/>
        <w:pageBreakBefore w:val="0"/>
        <w:widowControl w:val="0"/>
        <w:kinsoku/>
        <w:wordWrap/>
        <w:overflowPunct/>
        <w:topLinePunct w:val="0"/>
        <w:autoSpaceDE/>
        <w:autoSpaceDN/>
        <w:bidi/>
        <w:adjustRightInd/>
        <w:snapToGrid/>
        <w:spacing w:line="240" w:lineRule="auto"/>
        <w:ind w:left="0" w:leftChars="0" w:right="0" w:rightChars="0" w:firstLine="640" w:firstLineChars="200"/>
        <w:jc w:val="both"/>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lang w:val="en-US" w:eastAsia="zh-CN"/>
        </w:rPr>
        <w:t>（二）政府性基金预算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ˎ̥" w:eastAsia="仿宋_GB2312"/>
          <w:sz w:val="32"/>
          <w:szCs w:val="32"/>
          <w:lang w:val="en-US" w:eastAsia="zh-CN"/>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楷体" w:hAnsi="楷体" w:eastAsia="楷体" w:cs="楷体"/>
          <w:sz w:val="32"/>
          <w:szCs w:val="32"/>
        </w:rPr>
      </w:pPr>
      <w:r>
        <w:rPr>
          <w:rFonts w:hint="eastAsia" w:ascii="楷体" w:hAnsi="楷体" w:eastAsia="楷体" w:cs="楷体"/>
          <w:sz w:val="32"/>
          <w:szCs w:val="32"/>
          <w:lang w:val="en-US" w:eastAsia="zh-CN"/>
        </w:rPr>
        <w:t xml:space="preserve">  （三）政府性基金预算</w:t>
      </w:r>
      <w:r>
        <w:rPr>
          <w:rFonts w:hint="eastAsia" w:ascii="楷体" w:hAnsi="楷体" w:eastAsia="楷体" w:cs="楷体"/>
          <w:sz w:val="32"/>
          <w:szCs w:val="32"/>
        </w:rPr>
        <w:t>财政拨款支出决算具体情况。</w:t>
      </w:r>
      <w:r>
        <w:rPr>
          <w:rFonts w:hint="eastAsia" w:ascii="楷体" w:hAnsi="楷体" w:eastAsia="楷体" w:cs="楷体"/>
          <w:sz w:val="32"/>
          <w:szCs w:val="32"/>
          <w:lang w:val="en-US" w:eastAsia="zh-CN"/>
        </w:rPr>
        <w:t xml:space="preserve"> </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八、国有资本经营预算财政拨款支出决算情况说明</w:t>
      </w:r>
    </w:p>
    <w:p>
      <w:pPr>
        <w:rPr>
          <w:rFonts w:hint="eastAsia" w:ascii="楷体" w:hAnsi="楷体" w:eastAsia="楷体" w:cs="楷体"/>
          <w:sz w:val="32"/>
          <w:szCs w:val="32"/>
          <w:lang w:eastAsia="zh-CN"/>
        </w:rPr>
      </w:pPr>
      <w:r>
        <w:rPr>
          <w:rFonts w:hint="eastAsia" w:ascii="楷体" w:hAnsi="楷体" w:eastAsia="楷体" w:cs="楷体"/>
          <w:sz w:val="32"/>
          <w:szCs w:val="32"/>
          <w:lang w:val="en-US" w:eastAsia="zh-CN"/>
        </w:rPr>
        <w:t xml:space="preserve">  （一）</w:t>
      </w:r>
      <w:r>
        <w:rPr>
          <w:rFonts w:hint="eastAsia" w:ascii="楷体" w:hAnsi="楷体" w:eastAsia="楷体" w:cs="楷体"/>
          <w:sz w:val="32"/>
          <w:szCs w:val="32"/>
          <w:lang w:eastAsia="zh-CN"/>
        </w:rPr>
        <w:t>国有资本经营预算</w:t>
      </w:r>
      <w:r>
        <w:rPr>
          <w:rFonts w:hint="eastAsia" w:ascii="楷体" w:hAnsi="楷体" w:eastAsia="楷体" w:cs="楷体"/>
          <w:sz w:val="32"/>
          <w:szCs w:val="32"/>
        </w:rPr>
        <w:t>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rPr>
          <w:rFonts w:hint="eastAsia" w:ascii="楷体" w:hAnsi="楷体" w:eastAsia="楷体" w:cs="楷体"/>
          <w:sz w:val="32"/>
          <w:szCs w:val="32"/>
          <w:lang w:eastAsia="zh-CN"/>
        </w:rPr>
      </w:pPr>
      <w:r>
        <w:rPr>
          <w:rFonts w:hint="eastAsia" w:ascii="楷体" w:hAnsi="楷体" w:eastAsia="楷体" w:cs="楷体"/>
          <w:sz w:val="32"/>
          <w:szCs w:val="32"/>
          <w:lang w:val="en-US" w:eastAsia="zh-CN"/>
        </w:rPr>
        <w:t xml:space="preserve">   （二）国有资本经营预算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 xml:space="preserve">0 </w:t>
      </w:r>
      <w:r>
        <w:rPr>
          <w:rFonts w:hint="eastAsia" w:ascii="仿宋_GB2312" w:hAnsi="ˎ̥" w:eastAsia="仿宋_GB2312"/>
          <w:sz w:val="32"/>
          <w:szCs w:val="32"/>
        </w:rPr>
        <w:t>万元。</w:t>
      </w:r>
    </w:p>
    <w:p>
      <w:pPr>
        <w:rPr>
          <w:rFonts w:hint="eastAsia" w:ascii="楷体" w:hAnsi="楷体" w:eastAsia="楷体" w:cs="楷体"/>
          <w:sz w:val="32"/>
          <w:szCs w:val="32"/>
        </w:rPr>
      </w:pPr>
      <w:r>
        <w:rPr>
          <w:rFonts w:hint="eastAsia" w:ascii="楷体" w:hAnsi="楷体" w:eastAsia="楷体" w:cs="楷体"/>
          <w:sz w:val="32"/>
          <w:szCs w:val="32"/>
          <w:lang w:val="en-US" w:eastAsia="zh-CN"/>
        </w:rPr>
        <w:t xml:space="preserve">   （三）国有资本经营预算</w:t>
      </w:r>
      <w:r>
        <w:rPr>
          <w:rFonts w:hint="eastAsia" w:ascii="楷体" w:hAnsi="楷体" w:eastAsia="楷体" w:cs="楷体"/>
          <w:sz w:val="32"/>
          <w:szCs w:val="32"/>
        </w:rPr>
        <w:t>财政拨款支出决算具体情况。</w:t>
      </w:r>
    </w:p>
    <w:p>
      <w:pPr>
        <w:ind w:firstLine="640" w:firstLineChars="200"/>
        <w:rPr>
          <w:rFonts w:hint="eastAsia" w:ascii="仿宋_GB2312" w:hAnsi="ˎ̥" w:eastAsia="仿宋_GB2312"/>
          <w:b/>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一般公共预算财政拨款“三公”经费支出决算情况说明</w:t>
      </w:r>
    </w:p>
    <w:p>
      <w:pPr>
        <w:rPr>
          <w:rFonts w:hint="eastAsia" w:ascii="楷体" w:hAnsi="楷体" w:eastAsia="楷体" w:cs="楷体"/>
          <w:sz w:val="32"/>
          <w:szCs w:val="32"/>
        </w:rPr>
      </w:pP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（一）</w:t>
      </w:r>
      <w:r>
        <w:rPr>
          <w:rFonts w:hint="eastAsia" w:ascii="楷体" w:hAnsi="楷体" w:eastAsia="楷体" w:cs="楷体"/>
          <w:b/>
          <w:sz w:val="32"/>
          <w:szCs w:val="32"/>
          <w:lang w:val="en-US" w:eastAsia="zh-CN"/>
        </w:rPr>
        <w:t>一般公共预算</w:t>
      </w:r>
      <w:r>
        <w:rPr>
          <w:rFonts w:hint="eastAsia" w:ascii="楷体" w:hAnsi="楷体" w:eastAsia="楷体" w:cs="楷体"/>
          <w:b/>
          <w:sz w:val="32"/>
          <w:szCs w:val="32"/>
        </w:rPr>
        <w:t>财政拨款“三公”经费支出决算总体情况说明。</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rPr>
          <w:rFonts w:hint="eastAsia" w:ascii="楷体" w:hAnsi="楷体" w:eastAsia="楷体" w:cs="楷体"/>
          <w:b/>
          <w:bCs/>
          <w:sz w:val="32"/>
          <w:szCs w:val="32"/>
        </w:rPr>
      </w:pPr>
      <w:r>
        <w:rPr>
          <w:rFonts w:hint="eastAsia" w:ascii="楷体" w:hAnsi="楷体" w:eastAsia="楷体" w:cs="楷体"/>
          <w:b/>
          <w:bCs/>
          <w:sz w:val="32"/>
          <w:szCs w:val="32"/>
        </w:rPr>
        <w:t xml:space="preserve">  </w:t>
      </w:r>
      <w:r>
        <w:rPr>
          <w:rFonts w:hint="eastAsia" w:ascii="楷体" w:hAnsi="楷体" w:eastAsia="楷体" w:cs="楷体"/>
          <w:b/>
          <w:bCs/>
          <w:sz w:val="32"/>
          <w:szCs w:val="32"/>
          <w:lang w:eastAsia="zh-CN"/>
        </w:rPr>
        <w:t>（二）一般公共预算</w:t>
      </w:r>
      <w:r>
        <w:rPr>
          <w:rFonts w:hint="eastAsia" w:ascii="楷体" w:hAnsi="楷体" w:eastAsia="楷体" w:cs="楷体"/>
          <w:b/>
          <w:bCs/>
          <w:sz w:val="32"/>
          <w:szCs w:val="32"/>
        </w:rPr>
        <w:t>财政拨款“三公”经费支出决算具体情况说明。</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“三公”经费支出决算中，因公出国（境）费支出决算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numPr>
          <w:ilvl w:val="0"/>
          <w:numId w:val="0"/>
        </w:num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2.</w:t>
      </w:r>
      <w:r>
        <w:rPr>
          <w:rFonts w:hint="eastAsia" w:ascii="仿宋_GB2312" w:hAnsi="ˎ̥" w:eastAsia="仿宋_GB2312"/>
          <w:b/>
          <w:sz w:val="32"/>
          <w:szCs w:val="32"/>
        </w:rPr>
        <w:t>公务用车购置及运行</w:t>
      </w:r>
      <w:r>
        <w:rPr>
          <w:rFonts w:hint="eastAsia" w:ascii="仿宋_GB2312" w:hAnsi="ˎ̥" w:eastAsia="仿宋_GB2312"/>
          <w:b/>
          <w:sz w:val="32"/>
          <w:szCs w:val="32"/>
          <w:lang w:eastAsia="zh-CN"/>
        </w:rPr>
        <w:t>维护</w:t>
      </w:r>
      <w:r>
        <w:rPr>
          <w:rFonts w:hint="eastAsia" w:ascii="仿宋_GB2312" w:hAnsi="ˎ̥" w:eastAsia="仿宋_GB2312"/>
          <w:b/>
          <w:sz w:val="32"/>
          <w:szCs w:val="32"/>
        </w:rPr>
        <w:t>费支出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万元。其中：</w:t>
      </w:r>
    </w:p>
    <w:p>
      <w:pPr>
        <w:numPr>
          <w:ilvl w:val="0"/>
          <w:numId w:val="0"/>
        </w:numPr>
        <w:ind w:firstLine="642" w:firstLineChars="200"/>
        <w:rPr>
          <w:rFonts w:hint="eastAsia" w:ascii="仿宋_GB2312" w:hAnsi="ˎ̥" w:eastAsia="仿宋_GB2312"/>
          <w:b w:val="0"/>
          <w:bCs/>
          <w:sz w:val="32"/>
          <w:szCs w:val="32"/>
        </w:rPr>
      </w:pPr>
      <w:r>
        <w:rPr>
          <w:rFonts w:hint="eastAsia" w:ascii="仿宋_GB2312" w:hAnsi="ˎ̥" w:eastAsia="仿宋_GB2312"/>
          <w:b w:val="0"/>
          <w:bCs/>
          <w:sz w:val="32"/>
          <w:szCs w:val="32"/>
        </w:rPr>
        <w:t>公务用车购置支出</w:t>
      </w:r>
      <w:r>
        <w:rPr>
          <w:rFonts w:hint="eastAsia" w:ascii="仿宋_GB2312" w:hAnsi="ˎ̥" w:eastAsia="仿宋_GB2312"/>
          <w:b w:val="0"/>
          <w:bCs/>
          <w:sz w:val="32"/>
          <w:szCs w:val="32"/>
          <w:lang w:val="en-US" w:eastAsia="zh-CN"/>
        </w:rPr>
        <w:t>0</w:t>
      </w:r>
      <w:r>
        <w:rPr>
          <w:rFonts w:hint="eastAsia" w:ascii="仿宋_GB2312" w:hAnsi="ˎ̥" w:eastAsia="仿宋_GB2312"/>
          <w:b w:val="0"/>
          <w:bCs/>
          <w:sz w:val="32"/>
          <w:szCs w:val="32"/>
        </w:rPr>
        <w:t>万元，全年购置公务用车</w:t>
      </w:r>
      <w:r>
        <w:rPr>
          <w:rFonts w:hint="eastAsia" w:ascii="仿宋_GB2312" w:hAnsi="ˎ̥" w:eastAsia="仿宋_GB2312"/>
          <w:b w:val="0"/>
          <w:bCs/>
          <w:sz w:val="32"/>
          <w:szCs w:val="32"/>
          <w:lang w:val="en-US" w:eastAsia="zh-CN"/>
        </w:rPr>
        <w:t>0</w:t>
      </w:r>
      <w:r>
        <w:rPr>
          <w:rFonts w:hint="eastAsia" w:ascii="仿宋_GB2312" w:hAnsi="ˎ̥" w:eastAsia="仿宋_GB2312"/>
          <w:b w:val="0"/>
          <w:bCs/>
          <w:sz w:val="32"/>
          <w:szCs w:val="32"/>
        </w:rPr>
        <w:t>辆，年末公务用车保有量</w:t>
      </w:r>
      <w:r>
        <w:rPr>
          <w:rFonts w:hint="eastAsia" w:ascii="仿宋_GB2312" w:hAnsi="ˎ̥" w:eastAsia="仿宋_GB2312"/>
          <w:b w:val="0"/>
          <w:bCs/>
          <w:sz w:val="32"/>
          <w:szCs w:val="32"/>
          <w:lang w:val="en-US" w:eastAsia="zh-CN"/>
        </w:rPr>
        <w:t>0</w:t>
      </w:r>
      <w:r>
        <w:rPr>
          <w:rFonts w:hint="eastAsia" w:ascii="仿宋_GB2312" w:hAnsi="ˎ̥" w:eastAsia="仿宋_GB2312"/>
          <w:b w:val="0"/>
          <w:bCs/>
          <w:sz w:val="32"/>
          <w:szCs w:val="32"/>
        </w:rPr>
        <w:t>辆。</w:t>
      </w:r>
    </w:p>
    <w:p>
      <w:pPr>
        <w:numPr>
          <w:ilvl w:val="0"/>
          <w:numId w:val="0"/>
        </w:numPr>
        <w:ind w:firstLine="642" w:firstLineChars="200"/>
        <w:rPr>
          <w:rFonts w:hint="eastAsia" w:ascii="仿宋_GB2312" w:hAnsi="ˎ̥" w:eastAsia="仿宋_GB2312"/>
          <w:b w:val="0"/>
          <w:bCs/>
          <w:sz w:val="32"/>
          <w:szCs w:val="32"/>
        </w:rPr>
      </w:pPr>
      <w:r>
        <w:rPr>
          <w:rFonts w:hint="eastAsia" w:ascii="仿宋_GB2312" w:hAnsi="ˎ̥" w:eastAsia="仿宋_GB2312"/>
          <w:b w:val="0"/>
          <w:bCs/>
          <w:sz w:val="32"/>
          <w:szCs w:val="32"/>
        </w:rPr>
        <w:t>公务用车运行</w:t>
      </w:r>
      <w:r>
        <w:rPr>
          <w:rFonts w:hint="eastAsia" w:ascii="仿宋_GB2312" w:hAnsi="ˎ̥" w:eastAsia="仿宋_GB2312"/>
          <w:b w:val="0"/>
          <w:bCs/>
          <w:sz w:val="32"/>
          <w:szCs w:val="32"/>
          <w:lang w:eastAsia="zh-CN"/>
        </w:rPr>
        <w:t>维护费</w:t>
      </w:r>
      <w:r>
        <w:rPr>
          <w:rFonts w:hint="eastAsia" w:ascii="仿宋_GB2312" w:hAnsi="ˎ̥" w:eastAsia="仿宋_GB2312"/>
          <w:b w:val="0"/>
          <w:bCs/>
          <w:sz w:val="32"/>
          <w:szCs w:val="32"/>
        </w:rPr>
        <w:t>支出</w:t>
      </w:r>
      <w:r>
        <w:rPr>
          <w:rFonts w:hint="eastAsia" w:ascii="仿宋_GB2312" w:hAnsi="ˎ̥" w:eastAsia="仿宋_GB2312"/>
          <w:b w:val="0"/>
          <w:bCs/>
          <w:sz w:val="32"/>
          <w:szCs w:val="32"/>
          <w:lang w:val="en-US" w:eastAsia="zh-CN"/>
        </w:rPr>
        <w:t>0</w:t>
      </w:r>
      <w:r>
        <w:rPr>
          <w:rFonts w:hint="eastAsia" w:ascii="仿宋_GB2312" w:hAnsi="ˎ̥" w:eastAsia="仿宋_GB2312"/>
          <w:b w:val="0"/>
          <w:bCs/>
          <w:sz w:val="32"/>
          <w:szCs w:val="32"/>
        </w:rPr>
        <w:t>万元。</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 xml:space="preserve"> 3.</w:t>
      </w:r>
      <w:r>
        <w:rPr>
          <w:rFonts w:hint="eastAsia" w:ascii="仿宋_GB2312" w:hAnsi="ˎ̥" w:eastAsia="仿宋_GB2312"/>
          <w:b/>
          <w:sz w:val="32"/>
          <w:szCs w:val="32"/>
        </w:rPr>
        <w:t>公务接待费支出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w:t>
      </w:r>
      <w:r>
        <w:rPr>
          <w:rFonts w:hint="eastAsia" w:ascii="黑体" w:hAnsi="黑体" w:eastAsia="黑体" w:cs="黑体"/>
          <w:b w:val="0"/>
          <w:bCs/>
          <w:sz w:val="32"/>
          <w:szCs w:val="32"/>
          <w:lang w:eastAsia="zh-CN"/>
        </w:rPr>
        <w:t>政府性基金</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政府性基金预算财政拨款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十一、</w:t>
      </w:r>
      <w:r>
        <w:rPr>
          <w:rFonts w:hint="eastAsia" w:ascii="黑体" w:hAnsi="黑体" w:eastAsia="黑体" w:cs="黑体"/>
          <w:b w:val="0"/>
          <w:bCs/>
          <w:sz w:val="32"/>
          <w:szCs w:val="32"/>
          <w:lang w:eastAsia="zh-CN"/>
        </w:rPr>
        <w:t>国有资本经营</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国有资本经营预算财政拨款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w:t>
      </w:r>
      <w:r>
        <w:rPr>
          <w:rFonts w:hint="eastAsia" w:ascii="黑体" w:hAnsi="黑体" w:eastAsia="黑体" w:cs="黑体"/>
          <w:b w:val="0"/>
          <w:bCs/>
          <w:sz w:val="32"/>
          <w:szCs w:val="32"/>
        </w:rPr>
        <w:t>预算绩效情况说明</w:t>
      </w:r>
      <w:r>
        <w:rPr>
          <w:rFonts w:hint="eastAsia" w:ascii="黑体" w:hAnsi="黑体" w:eastAsia="黑体" w:cs="黑体"/>
          <w:b w:val="0"/>
          <w:bCs/>
          <w:sz w:val="32"/>
          <w:szCs w:val="32"/>
          <w:lang w:eastAsia="zh-CN"/>
        </w:rPr>
        <w:t>。</w:t>
      </w:r>
    </w:p>
    <w:p>
      <w:pPr>
        <w:spacing w:line="578" w:lineRule="exact"/>
        <w:rPr>
          <w:rFonts w:hint="eastAsia" w:ascii="楷体" w:hAnsi="楷体" w:eastAsia="楷体" w:cs="楷体"/>
          <w:b/>
          <w:sz w:val="32"/>
          <w:szCs w:val="32"/>
        </w:rPr>
      </w:pP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（一）</w:t>
      </w:r>
      <w:r>
        <w:rPr>
          <w:rFonts w:hint="eastAsia" w:ascii="楷体" w:hAnsi="楷体" w:eastAsia="楷体" w:cs="楷体"/>
          <w:b/>
          <w:sz w:val="32"/>
          <w:szCs w:val="32"/>
        </w:rPr>
        <w:t>绩效管理工作开展情况。</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根据财政预算</w:t>
      </w:r>
      <w:r>
        <w:rPr>
          <w:rFonts w:hint="eastAsia" w:ascii="仿宋_GB2312" w:eastAsia="仿宋_GB2312"/>
          <w:sz w:val="32"/>
          <w:szCs w:val="32"/>
          <w:lang w:eastAsia="zh-CN"/>
        </w:rPr>
        <w:t>绩效</w:t>
      </w:r>
      <w:r>
        <w:rPr>
          <w:rFonts w:hint="eastAsia" w:ascii="仿宋_GB2312" w:eastAsia="仿宋_GB2312"/>
          <w:sz w:val="32"/>
          <w:szCs w:val="32"/>
        </w:rPr>
        <w:t>管理要求，</w:t>
      </w:r>
      <w:r>
        <w:rPr>
          <w:rFonts w:hint="eastAsia" w:ascii="仿宋_GB2312" w:eastAsia="仿宋_GB2312"/>
          <w:sz w:val="32"/>
          <w:szCs w:val="32"/>
          <w:lang w:eastAsia="zh-CN"/>
        </w:rPr>
        <w:t>可</w:t>
      </w:r>
      <w:r>
        <w:rPr>
          <w:rFonts w:hint="eastAsia" w:ascii="仿宋_GB2312" w:eastAsia="仿宋_GB2312"/>
          <w:sz w:val="32"/>
          <w:szCs w:val="32"/>
        </w:rPr>
        <w:t>按照如下格式说明：根据财政预算管理要求，我单位组织对</w:t>
      </w: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lang w:eastAsia="zh-CN"/>
        </w:rPr>
        <w:t>年度</w:t>
      </w:r>
      <w:r>
        <w:rPr>
          <w:rFonts w:hint="eastAsia" w:ascii="仿宋_GB2312" w:eastAsia="仿宋_GB2312"/>
          <w:sz w:val="32"/>
          <w:szCs w:val="32"/>
        </w:rPr>
        <w:t>一般公共预算项目支出全面开展绩效自评。自评项目</w:t>
      </w:r>
      <w:r>
        <w:rPr>
          <w:rFonts w:hint="eastAsia" w:ascii="仿宋_GB2312" w:eastAsia="仿宋_GB2312"/>
          <w:sz w:val="32"/>
          <w:szCs w:val="32"/>
          <w:lang w:val="en-US" w:eastAsia="zh-CN"/>
        </w:rPr>
        <w:t>4</w:t>
      </w:r>
      <w:r>
        <w:rPr>
          <w:rFonts w:hint="eastAsia" w:ascii="仿宋_GB2312" w:eastAsia="仿宋_GB2312"/>
          <w:sz w:val="32"/>
          <w:szCs w:val="32"/>
        </w:rPr>
        <w:t>个，共涉及资金</w:t>
      </w:r>
      <w:r>
        <w:rPr>
          <w:rFonts w:hint="eastAsia" w:ascii="仿宋_GB2312" w:eastAsia="仿宋_GB2312"/>
          <w:sz w:val="32"/>
          <w:szCs w:val="32"/>
          <w:lang w:val="en-US" w:eastAsia="zh-CN"/>
        </w:rPr>
        <w:t>3849.16</w:t>
      </w:r>
      <w:r>
        <w:rPr>
          <w:rFonts w:hint="eastAsia" w:ascii="仿宋_GB2312" w:eastAsia="仿宋_GB2312"/>
          <w:sz w:val="32"/>
          <w:szCs w:val="32"/>
        </w:rPr>
        <w:t>万元，自评覆盖率达到</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31680" w:firstLineChars="200"/>
        <w:rPr>
          <w:rFonts w:ascii="仿宋_GB2312" w:eastAsia="仿宋_GB2312"/>
          <w:sz w:val="32"/>
          <w:szCs w:val="32"/>
        </w:rPr>
      </w:pPr>
      <w:r>
        <w:rPr>
          <w:rFonts w:hint="eastAsia" w:ascii="仿宋_GB2312" w:eastAsia="仿宋_GB2312"/>
          <w:sz w:val="32"/>
          <w:szCs w:val="32"/>
        </w:rPr>
        <w:t>共组织对“</w:t>
      </w:r>
      <w:r>
        <w:rPr>
          <w:rFonts w:hint="eastAsia" w:ascii="仿宋_GB2312" w:eastAsia="仿宋_GB2312"/>
          <w:sz w:val="32"/>
          <w:szCs w:val="32"/>
          <w:lang w:eastAsia="zh-CN"/>
        </w:rPr>
        <w:t>城镇公用事业照明、路灯高压箱变及高压线路检测、城市路灯维护、路灯灯控系统设施专项维护</w:t>
      </w:r>
      <w:r>
        <w:rPr>
          <w:rFonts w:hint="eastAsia" w:ascii="仿宋_GB2312" w:eastAsia="仿宋_GB2312"/>
          <w:sz w:val="32"/>
          <w:szCs w:val="32"/>
        </w:rPr>
        <w:t>”等</w:t>
      </w:r>
      <w:r>
        <w:rPr>
          <w:rFonts w:hint="eastAsia" w:ascii="仿宋_GB2312" w:eastAsia="仿宋_GB2312"/>
          <w:sz w:val="32"/>
          <w:szCs w:val="32"/>
          <w:lang w:val="en-US" w:eastAsia="zh-CN"/>
        </w:rPr>
        <w:t>4</w:t>
      </w:r>
      <w:r>
        <w:rPr>
          <w:rFonts w:hint="eastAsia" w:ascii="仿宋_GB2312" w:eastAsia="仿宋_GB2312"/>
          <w:sz w:val="32"/>
          <w:szCs w:val="32"/>
        </w:rPr>
        <w:t>个项目</w:t>
      </w:r>
      <w:r>
        <w:rPr>
          <w:rFonts w:hint="eastAsia" w:ascii="仿宋_GB2312" w:eastAsia="仿宋_GB2312"/>
          <w:sz w:val="32"/>
          <w:szCs w:val="32"/>
          <w:lang w:eastAsia="zh-CN"/>
        </w:rPr>
        <w:t>开展了部门</w:t>
      </w:r>
      <w:r>
        <w:rPr>
          <w:rFonts w:hint="eastAsia" w:ascii="仿宋_GB2312" w:eastAsia="仿宋_GB2312"/>
          <w:sz w:val="32"/>
          <w:szCs w:val="32"/>
        </w:rPr>
        <w:t>评价，涉及资金</w:t>
      </w:r>
      <w:r>
        <w:rPr>
          <w:rFonts w:hint="eastAsia" w:ascii="仿宋_GB2312" w:eastAsia="仿宋_GB2312"/>
          <w:sz w:val="32"/>
          <w:szCs w:val="32"/>
          <w:lang w:val="en-US" w:eastAsia="zh-CN"/>
        </w:rPr>
        <w:t>3849.16</w:t>
      </w:r>
      <w:r>
        <w:rPr>
          <w:rFonts w:hint="eastAsia" w:ascii="仿宋_GB2312" w:eastAsia="仿宋_GB2312"/>
          <w:sz w:val="32"/>
          <w:szCs w:val="32"/>
        </w:rPr>
        <w:t>万元。从评价情况来看三亚市路灯管理所项目程序较完整，预算执行相对及时、有效，绩效目标得到较好的实现，使绩效管理水平不断提高。存在的问题：一是项目未设置专项资金管理办法；二是设置绩效目标表时，具体的产出目标设定不够完整。针对存在的问题提出整改措施：一是建议在预算执行过程中进一步加强专项资金管理，完善专项资金管理办法，规范财政行为，提高资金的使用效率。二是加强绩效管理基础知识的学习，提高项目预算编制水平，在编制项目预算时要明确具体的行之有效的项目绩效目标，确保在项目实施过程中不偏离目标，具有可操作性。</w:t>
      </w:r>
    </w:p>
    <w:p>
      <w:pPr>
        <w:numPr>
          <w:ilvl w:val="0"/>
          <w:numId w:val="0"/>
        </w:numPr>
        <w:spacing w:line="240" w:lineRule="auto"/>
        <w:rPr>
          <w:rFonts w:hint="eastAsia" w:ascii="楷体" w:hAnsi="楷体" w:eastAsia="楷体" w:cs="楷体"/>
          <w:b/>
          <w:sz w:val="32"/>
          <w:szCs w:val="32"/>
        </w:rPr>
      </w:pP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（二）</w:t>
      </w:r>
      <w:r>
        <w:rPr>
          <w:rFonts w:hint="eastAsia" w:ascii="楷体" w:hAnsi="楷体" w:eastAsia="楷体" w:cs="楷体"/>
          <w:b/>
          <w:sz w:val="32"/>
          <w:szCs w:val="32"/>
        </w:rPr>
        <w:t>部门决算中项目绩效自评结果。</w:t>
      </w:r>
    </w:p>
    <w:p>
      <w:pPr>
        <w:numPr>
          <w:ilvl w:val="0"/>
          <w:numId w:val="0"/>
        </w:numPr>
        <w:spacing w:line="240" w:lineRule="auto"/>
        <w:rPr>
          <w:rFonts w:hint="eastAsia" w:ascii="仿宋_GB2312" w:eastAsia="仿宋_GB2312"/>
          <w:b w:val="0"/>
          <w:bCs/>
          <w:sz w:val="32"/>
          <w:szCs w:val="32"/>
          <w:lang w:val="en-US" w:eastAsia="zh-CN"/>
        </w:rPr>
      </w:pPr>
      <w:r>
        <w:rPr>
          <w:rFonts w:hint="eastAsia" w:ascii="楷体" w:hAnsi="楷体" w:eastAsia="楷体" w:cs="楷体"/>
          <w:b/>
          <w:sz w:val="32"/>
          <w:szCs w:val="32"/>
          <w:lang w:val="en-US" w:eastAsia="zh-CN"/>
        </w:rPr>
        <w:t xml:space="preserve">    </w:t>
      </w:r>
      <w:r>
        <w:rPr>
          <w:rFonts w:hint="eastAsia" w:ascii="楷体" w:hAnsi="楷体" w:eastAsia="楷体" w:cs="楷体"/>
          <w:b w:val="0"/>
          <w:bCs/>
          <w:sz w:val="32"/>
          <w:szCs w:val="32"/>
          <w:lang w:eastAsia="zh-CN"/>
        </w:rPr>
        <w:t>无</w:t>
      </w:r>
    </w:p>
    <w:p>
      <w:pPr>
        <w:spacing w:line="578" w:lineRule="exact"/>
        <w:rPr>
          <w:rFonts w:hint="eastAsia" w:ascii="楷体" w:hAnsi="楷体" w:eastAsia="楷体" w:cs="楷体"/>
          <w:b/>
          <w:bCs w:val="0"/>
          <w:sz w:val="32"/>
          <w:szCs w:val="32"/>
        </w:rPr>
      </w:pP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（三）</w:t>
      </w:r>
      <w:r>
        <w:rPr>
          <w:rFonts w:hint="eastAsia" w:ascii="楷体" w:hAnsi="楷体" w:eastAsia="楷体" w:cs="楷体"/>
          <w:b/>
          <w:bCs w:val="0"/>
          <w:sz w:val="32"/>
          <w:szCs w:val="32"/>
          <w:lang w:eastAsia="zh-CN"/>
        </w:rPr>
        <w:t>财政评价项目绩效评价结果</w:t>
      </w:r>
      <w:r>
        <w:rPr>
          <w:rFonts w:hint="eastAsia" w:ascii="楷体" w:hAnsi="楷体" w:eastAsia="楷体" w:cs="楷体"/>
          <w:b/>
          <w:bCs w:val="0"/>
          <w:sz w:val="32"/>
          <w:szCs w:val="32"/>
        </w:rPr>
        <w:t>（如有）。</w:t>
      </w:r>
    </w:p>
    <w:p>
      <w:pPr>
        <w:spacing w:line="578" w:lineRule="exact"/>
        <w:ind w:firstLine="642" w:firstLineChars="200"/>
        <w:rPr>
          <w:rFonts w:hint="eastAsia" w:ascii="仿宋_GB2312" w:eastAsia="仿宋_GB2312"/>
          <w:color w:val="auto"/>
          <w:sz w:val="32"/>
          <w:szCs w:val="32"/>
          <w:lang w:val="zh-CN"/>
        </w:rPr>
      </w:pPr>
      <w:r>
        <w:rPr>
          <w:rFonts w:hint="eastAsia" w:ascii="仿宋_GB2312" w:eastAsia="仿宋_GB2312"/>
          <w:color w:val="auto"/>
          <w:sz w:val="32"/>
          <w:szCs w:val="32"/>
          <w:lang w:val="zh-CN"/>
        </w:rPr>
        <w:t>无</w:t>
      </w:r>
    </w:p>
    <w:p>
      <w:pPr>
        <w:spacing w:line="578" w:lineRule="exact"/>
        <w:rPr>
          <w:rFonts w:hint="eastAsia" w:ascii="楷体" w:hAnsi="楷体" w:eastAsia="楷体" w:cs="楷体"/>
          <w:b/>
          <w:color w:val="auto"/>
          <w:sz w:val="32"/>
          <w:szCs w:val="32"/>
          <w:u w:val="none"/>
        </w:rPr>
      </w:pPr>
      <w:r>
        <w:rPr>
          <w:rFonts w:hint="eastAsia" w:ascii="楷体" w:hAnsi="楷体" w:eastAsia="楷体" w:cs="楷体"/>
          <w:b/>
          <w:color w:val="auto"/>
          <w:sz w:val="32"/>
          <w:szCs w:val="32"/>
          <w:lang w:val="en-US" w:eastAsia="zh-CN"/>
        </w:rPr>
        <w:t xml:space="preserve">  </w:t>
      </w:r>
      <w:r>
        <w:rPr>
          <w:rFonts w:hint="eastAsia" w:ascii="楷体" w:hAnsi="楷体" w:eastAsia="楷体" w:cs="楷体"/>
          <w:b/>
          <w:color w:val="auto"/>
          <w:sz w:val="32"/>
          <w:szCs w:val="32"/>
          <w:lang w:eastAsia="zh-CN"/>
        </w:rPr>
        <w:t>（四）</w:t>
      </w:r>
      <w:r>
        <w:rPr>
          <w:rFonts w:hint="eastAsia" w:ascii="楷体" w:hAnsi="楷体" w:eastAsia="楷体" w:cs="楷体"/>
          <w:b/>
          <w:color w:val="auto"/>
          <w:sz w:val="32"/>
          <w:szCs w:val="32"/>
          <w:lang w:val="en-US"/>
        </w:rPr>
        <w:t>部门评价项目绩效评价结果</w:t>
      </w:r>
      <w:r>
        <w:rPr>
          <w:rFonts w:hint="eastAsia" w:ascii="楷体" w:hAnsi="楷体" w:eastAsia="楷体" w:cs="楷体"/>
          <w:b/>
          <w:color w:val="auto"/>
          <w:sz w:val="32"/>
          <w:szCs w:val="32"/>
          <w:u w:val="none"/>
        </w:rPr>
        <w:t>。</w:t>
      </w:r>
    </w:p>
    <w:p>
      <w:pPr>
        <w:spacing w:line="578" w:lineRule="exact"/>
        <w:rPr>
          <w:rFonts w:hint="eastAsia" w:ascii="楷体" w:hAnsi="楷体" w:eastAsia="楷体" w:cs="楷体"/>
          <w:b w:val="0"/>
          <w:bCs/>
          <w:color w:val="auto"/>
          <w:sz w:val="32"/>
          <w:szCs w:val="32"/>
          <w:u w:val="none"/>
          <w:lang w:eastAsia="zh-CN"/>
        </w:rPr>
      </w:pPr>
      <w:r>
        <w:rPr>
          <w:rFonts w:hint="eastAsia" w:ascii="楷体" w:hAnsi="楷体" w:eastAsia="楷体" w:cs="楷体"/>
          <w:b w:val="0"/>
          <w:bCs/>
          <w:color w:val="auto"/>
          <w:sz w:val="32"/>
          <w:szCs w:val="32"/>
          <w:u w:val="none"/>
          <w:lang w:val="en-US" w:eastAsia="zh-CN"/>
        </w:rPr>
        <w:t xml:space="preserve">    </w:t>
      </w:r>
      <w:r>
        <w:rPr>
          <w:rFonts w:hint="eastAsia" w:ascii="楷体" w:hAnsi="楷体" w:eastAsia="楷体" w:cs="楷体"/>
          <w:b w:val="0"/>
          <w:bCs/>
          <w:color w:val="auto"/>
          <w:sz w:val="32"/>
          <w:szCs w:val="32"/>
          <w:u w:val="none"/>
          <w:lang w:eastAsia="zh-CN"/>
        </w:rPr>
        <w:t>无</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十三、</w:t>
      </w:r>
      <w:r>
        <w:rPr>
          <w:rFonts w:hint="eastAsia" w:ascii="黑体" w:hAnsi="黑体" w:eastAsia="黑体" w:cs="黑体"/>
          <w:b w:val="0"/>
          <w:bCs/>
          <w:sz w:val="32"/>
          <w:szCs w:val="32"/>
        </w:rPr>
        <w:t>其他重要事项情况说明</w:t>
      </w:r>
      <w:r>
        <w:rPr>
          <w:rFonts w:hint="eastAsia" w:ascii="黑体" w:hAnsi="黑体" w:eastAsia="黑体" w:cs="黑体"/>
          <w:b w:val="0"/>
          <w:bCs/>
          <w:sz w:val="32"/>
          <w:szCs w:val="32"/>
          <w:lang w:eastAsia="zh-CN"/>
        </w:rPr>
        <w:t>。</w:t>
      </w:r>
    </w:p>
    <w:p>
      <w:pPr>
        <w:rPr>
          <w:rFonts w:hint="eastAsia" w:ascii="楷体" w:hAnsi="楷体" w:eastAsia="楷体" w:cs="楷体"/>
          <w:b/>
          <w:sz w:val="32"/>
          <w:szCs w:val="32"/>
        </w:rPr>
      </w:pPr>
      <w:bookmarkStart w:id="95" w:name="_Toc15565_WPSOffice_Level2"/>
      <w:bookmarkStart w:id="96" w:name="_Toc15262_WPSOffice_Level2"/>
      <w:bookmarkStart w:id="97" w:name="_Toc18325_WPSOffice_Level2"/>
      <w:bookmarkStart w:id="98" w:name="_Toc32639_WPSOffice_Level2"/>
      <w:bookmarkStart w:id="99" w:name="_Toc23598_WPSOffice_Level2"/>
      <w:bookmarkStart w:id="100" w:name="_Toc5978_WPSOffice_Level2"/>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（一）</w:t>
      </w:r>
      <w:r>
        <w:rPr>
          <w:rFonts w:hint="eastAsia" w:ascii="楷体" w:hAnsi="楷体" w:eastAsia="楷体" w:cs="楷体"/>
          <w:b/>
          <w:sz w:val="32"/>
          <w:szCs w:val="32"/>
        </w:rPr>
        <w:t>机关运行经费支出情况。</w:t>
      </w:r>
      <w:bookmarkEnd w:id="95"/>
      <w:bookmarkEnd w:id="96"/>
      <w:bookmarkEnd w:id="97"/>
      <w:bookmarkEnd w:id="98"/>
      <w:bookmarkEnd w:id="99"/>
      <w:bookmarkEnd w:id="100"/>
    </w:p>
    <w:p>
      <w:pPr>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 xml:space="preserve">    </w:t>
      </w:r>
      <w:r>
        <w:rPr>
          <w:rFonts w:hint="eastAsia" w:ascii="楷体" w:hAnsi="楷体" w:eastAsia="楷体" w:cs="楷体"/>
          <w:b w:val="0"/>
          <w:bCs/>
          <w:sz w:val="32"/>
          <w:szCs w:val="32"/>
          <w:lang w:val="en-US" w:eastAsia="zh-CN"/>
        </w:rPr>
        <w:t>无</w:t>
      </w:r>
    </w:p>
    <w:p>
      <w:pPr>
        <w:rPr>
          <w:rFonts w:hint="eastAsia" w:ascii="楷体" w:hAnsi="楷体" w:eastAsia="楷体" w:cs="楷体"/>
          <w:b/>
          <w:sz w:val="32"/>
          <w:szCs w:val="32"/>
        </w:rPr>
      </w:pPr>
      <w:bookmarkStart w:id="101" w:name="_Toc13084_WPSOffice_Level2"/>
      <w:bookmarkStart w:id="102" w:name="_Toc32689_WPSOffice_Level2"/>
      <w:bookmarkStart w:id="103" w:name="_Toc30383_WPSOffice_Level2"/>
      <w:bookmarkStart w:id="104" w:name="_Toc25333_WPSOffice_Level2"/>
      <w:bookmarkStart w:id="105" w:name="_Toc23966_WPSOffice_Level2"/>
      <w:bookmarkStart w:id="106" w:name="_Toc3131_WPSOffice_Level2"/>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（二）</w:t>
      </w:r>
      <w:r>
        <w:rPr>
          <w:rFonts w:hint="eastAsia" w:ascii="楷体" w:hAnsi="楷体" w:eastAsia="楷体" w:cs="楷体"/>
          <w:b/>
          <w:sz w:val="32"/>
          <w:szCs w:val="32"/>
        </w:rPr>
        <w:t>政府采购支出情况。</w:t>
      </w:r>
      <w:bookmarkEnd w:id="101"/>
      <w:bookmarkEnd w:id="102"/>
      <w:bookmarkEnd w:id="103"/>
      <w:bookmarkEnd w:id="104"/>
      <w:bookmarkEnd w:id="105"/>
      <w:bookmarkEnd w:id="106"/>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年度三亚市路灯管理所</w:t>
      </w:r>
      <w:r>
        <w:rPr>
          <w:rFonts w:hint="eastAsia" w:ascii="仿宋_GB2312" w:hAnsi="ˎ̥" w:eastAsia="仿宋_GB2312"/>
          <w:sz w:val="32"/>
          <w:szCs w:val="32"/>
        </w:rPr>
        <w:t>政府采购支出总额</w:t>
      </w:r>
      <w:r>
        <w:rPr>
          <w:rFonts w:hint="eastAsia" w:ascii="仿宋_GB2312" w:hAnsi="ˎ̥" w:eastAsia="仿宋_GB2312"/>
          <w:sz w:val="32"/>
          <w:szCs w:val="32"/>
          <w:lang w:val="en-US" w:eastAsia="zh-CN"/>
        </w:rPr>
        <w:t>0</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万元、政府采购工程支出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万元、政府采购服务支出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万元。授予中小企业合同金额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%，其中：授予小微企业合同金额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rPr>
          <w:rFonts w:hint="eastAsia" w:ascii="楷体" w:hAnsi="楷体" w:eastAsia="楷体" w:cs="楷体"/>
          <w:b/>
          <w:sz w:val="32"/>
          <w:szCs w:val="32"/>
        </w:rPr>
      </w:pPr>
      <w:bookmarkStart w:id="107" w:name="_Toc527_WPSOffice_Level2"/>
      <w:bookmarkStart w:id="108" w:name="_Toc19989_WPSOffice_Level2"/>
      <w:bookmarkStart w:id="109" w:name="_Toc15129_WPSOffice_Level2"/>
      <w:bookmarkStart w:id="110" w:name="_Toc10902_WPSOffice_Level2"/>
      <w:bookmarkStart w:id="111" w:name="_Toc29584_WPSOffice_Level2"/>
      <w:bookmarkStart w:id="112" w:name="_Toc6016_WPSOffice_Level2"/>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lang w:eastAsia="zh-CN"/>
        </w:rPr>
        <w:t>（三）</w:t>
      </w:r>
      <w:r>
        <w:rPr>
          <w:rFonts w:hint="eastAsia" w:ascii="楷体" w:hAnsi="楷体" w:eastAsia="楷体" w:cs="楷体"/>
          <w:b/>
          <w:sz w:val="32"/>
          <w:szCs w:val="32"/>
        </w:rPr>
        <w:t>国有资产占用情况。</w:t>
      </w:r>
      <w:bookmarkEnd w:id="107"/>
      <w:bookmarkEnd w:id="108"/>
      <w:bookmarkEnd w:id="109"/>
      <w:bookmarkEnd w:id="110"/>
      <w:bookmarkEnd w:id="111"/>
      <w:bookmarkEnd w:id="112"/>
    </w:p>
    <w:p>
      <w:pPr>
        <w:spacing w:line="578" w:lineRule="exact"/>
        <w:ind w:firstLine="31680" w:firstLineChars="200"/>
        <w:rPr>
          <w:rFonts w:ascii="仿宋_GB2312" w:hAnsi="??" w:eastAsia="仿宋_GB2312"/>
          <w:sz w:val="32"/>
          <w:szCs w:val="32"/>
        </w:rPr>
      </w:pPr>
      <w:r>
        <w:rPr>
          <w:rFonts w:hint="eastAsia" w:ascii="仿宋_GB2312" w:hAnsi="??" w:eastAsia="仿宋_GB2312"/>
          <w:sz w:val="32"/>
          <w:szCs w:val="32"/>
        </w:rPr>
        <w:t>截至</w:t>
      </w:r>
      <w:r>
        <w:rPr>
          <w:rFonts w:ascii="仿宋_GB2312" w:hAnsi="??" w:eastAsia="仿宋_GB2312"/>
          <w:sz w:val="32"/>
          <w:szCs w:val="32"/>
        </w:rPr>
        <w:t>202</w:t>
      </w:r>
      <w:r>
        <w:rPr>
          <w:rFonts w:hint="eastAsia" w:ascii="仿宋_GB2312" w:hAnsi="??" w:eastAsia="仿宋_GB2312"/>
          <w:sz w:val="32"/>
          <w:szCs w:val="32"/>
          <w:lang w:val="en-US" w:eastAsia="zh-CN"/>
        </w:rPr>
        <w:t>1</w:t>
      </w:r>
      <w:bookmarkStart w:id="119" w:name="_GoBack"/>
      <w:bookmarkEnd w:id="119"/>
      <w:r>
        <w:rPr>
          <w:rFonts w:hint="eastAsia" w:ascii="仿宋_GB2312" w:hAnsi="??" w:eastAsia="仿宋_GB2312"/>
          <w:sz w:val="32"/>
          <w:szCs w:val="32"/>
        </w:rPr>
        <w:t>年</w:t>
      </w:r>
      <w:r>
        <w:rPr>
          <w:rFonts w:ascii="仿宋_GB2312" w:hAnsi="??" w:eastAsia="仿宋_GB2312"/>
          <w:sz w:val="32"/>
          <w:szCs w:val="32"/>
        </w:rPr>
        <w:t>12</w:t>
      </w:r>
      <w:r>
        <w:rPr>
          <w:rFonts w:hint="eastAsia" w:ascii="仿宋_GB2312" w:hAnsi="??" w:eastAsia="仿宋_GB2312"/>
          <w:sz w:val="32"/>
          <w:szCs w:val="32"/>
        </w:rPr>
        <w:t>月</w:t>
      </w:r>
      <w:r>
        <w:rPr>
          <w:rFonts w:ascii="仿宋_GB2312" w:hAnsi="??" w:eastAsia="仿宋_GB2312"/>
          <w:sz w:val="32"/>
          <w:szCs w:val="32"/>
        </w:rPr>
        <w:t>31</w:t>
      </w:r>
      <w:r>
        <w:rPr>
          <w:rFonts w:hint="eastAsia" w:ascii="仿宋_GB2312" w:hAnsi="??" w:eastAsia="仿宋_GB2312"/>
          <w:sz w:val="32"/>
          <w:szCs w:val="32"/>
        </w:rPr>
        <w:t>日，本单位占用房屋面积</w:t>
      </w:r>
      <w:r>
        <w:rPr>
          <w:rFonts w:ascii="仿宋_GB2312" w:hAnsi="??" w:eastAsia="仿宋_GB2312"/>
          <w:sz w:val="32"/>
          <w:szCs w:val="32"/>
        </w:rPr>
        <w:t>4031</w:t>
      </w:r>
      <w:r>
        <w:rPr>
          <w:rFonts w:hint="eastAsia" w:ascii="仿宋_GB2312" w:hAnsi="??" w:eastAsia="仿宋_GB2312"/>
          <w:sz w:val="32"/>
          <w:szCs w:val="32"/>
        </w:rPr>
        <w:t>平方米，其中：办公用房</w:t>
      </w:r>
      <w:r>
        <w:rPr>
          <w:rFonts w:ascii="仿宋_GB2312" w:hAnsi="??" w:eastAsia="仿宋_GB2312"/>
          <w:sz w:val="32"/>
          <w:szCs w:val="32"/>
        </w:rPr>
        <w:t>4031</w:t>
      </w:r>
      <w:r>
        <w:rPr>
          <w:rFonts w:hint="eastAsia" w:ascii="仿宋_GB2312" w:hAnsi="??" w:eastAsia="仿宋_GB2312"/>
          <w:sz w:val="32"/>
          <w:szCs w:val="32"/>
        </w:rPr>
        <w:t>平方米，业务用房</w:t>
      </w:r>
      <w:r>
        <w:rPr>
          <w:rFonts w:ascii="仿宋_GB2312" w:hAnsi="??" w:eastAsia="仿宋_GB2312"/>
          <w:sz w:val="32"/>
          <w:szCs w:val="32"/>
        </w:rPr>
        <w:t>0</w:t>
      </w:r>
      <w:r>
        <w:rPr>
          <w:rFonts w:hint="eastAsia" w:ascii="仿宋_GB2312" w:hAnsi="??" w:eastAsia="仿宋_GB2312"/>
          <w:sz w:val="32"/>
          <w:szCs w:val="32"/>
        </w:rPr>
        <w:t>平方米，其他（不含构筑物）</w:t>
      </w:r>
      <w:r>
        <w:rPr>
          <w:rFonts w:ascii="仿宋_GB2312" w:hAnsi="??" w:eastAsia="仿宋_GB2312"/>
          <w:sz w:val="32"/>
          <w:szCs w:val="32"/>
        </w:rPr>
        <w:t>0</w:t>
      </w:r>
      <w:r>
        <w:rPr>
          <w:rFonts w:hint="eastAsia" w:ascii="仿宋_GB2312" w:hAnsi="??" w:eastAsia="仿宋_GB2312"/>
          <w:sz w:val="32"/>
          <w:szCs w:val="32"/>
        </w:rPr>
        <w:t>平方米。</w:t>
      </w:r>
    </w:p>
    <w:p>
      <w:pPr>
        <w:spacing w:line="578" w:lineRule="exact"/>
        <w:ind w:firstLine="31680" w:firstLineChars="200"/>
        <w:rPr>
          <w:rFonts w:ascii="仿宋_GB2312" w:hAnsi="??" w:eastAsia="仿宋_GB2312"/>
          <w:sz w:val="32"/>
          <w:szCs w:val="32"/>
        </w:rPr>
      </w:pPr>
      <w:r>
        <w:rPr>
          <w:rFonts w:hint="eastAsia" w:ascii="仿宋_GB2312" w:hAnsi="??" w:eastAsia="仿宋_GB2312"/>
          <w:sz w:val="32"/>
          <w:szCs w:val="32"/>
        </w:rPr>
        <w:t>本单位共有车辆</w:t>
      </w:r>
      <w:r>
        <w:rPr>
          <w:rFonts w:ascii="仿宋_GB2312" w:hAnsi="??" w:eastAsia="仿宋_GB2312"/>
          <w:sz w:val="32"/>
          <w:szCs w:val="32"/>
        </w:rPr>
        <w:t>24</w:t>
      </w:r>
      <w:r>
        <w:rPr>
          <w:rFonts w:hint="eastAsia" w:ascii="仿宋_GB2312" w:hAnsi="??" w:eastAsia="仿宋_GB2312"/>
          <w:sz w:val="32"/>
          <w:szCs w:val="32"/>
        </w:rPr>
        <w:t>辆，其中：从车辆种类说明：轿车</w:t>
      </w:r>
      <w:r>
        <w:rPr>
          <w:rFonts w:ascii="仿宋_GB2312" w:hAnsi="??" w:eastAsia="仿宋_GB2312"/>
          <w:sz w:val="32"/>
          <w:szCs w:val="32"/>
        </w:rPr>
        <w:t>1</w:t>
      </w:r>
      <w:r>
        <w:rPr>
          <w:rFonts w:hint="eastAsia" w:ascii="仿宋_GB2312" w:hAnsi="??" w:eastAsia="仿宋_GB2312"/>
          <w:sz w:val="32"/>
          <w:szCs w:val="32"/>
        </w:rPr>
        <w:t>辆、越野车</w:t>
      </w:r>
      <w:r>
        <w:rPr>
          <w:rFonts w:ascii="仿宋_GB2312" w:hAnsi="??" w:eastAsia="仿宋_GB2312"/>
          <w:sz w:val="32"/>
          <w:szCs w:val="32"/>
        </w:rPr>
        <w:t>0</w:t>
      </w:r>
      <w:r>
        <w:rPr>
          <w:rFonts w:hint="eastAsia" w:ascii="仿宋_GB2312" w:hAnsi="??" w:eastAsia="仿宋_GB2312"/>
          <w:sz w:val="32"/>
          <w:szCs w:val="32"/>
        </w:rPr>
        <w:t>辆、小型载客汽车</w:t>
      </w:r>
      <w:r>
        <w:rPr>
          <w:rFonts w:ascii="仿宋_GB2312" w:hAnsi="??" w:eastAsia="仿宋_GB2312"/>
          <w:sz w:val="32"/>
          <w:szCs w:val="32"/>
        </w:rPr>
        <w:t>0</w:t>
      </w:r>
      <w:r>
        <w:rPr>
          <w:rFonts w:hint="eastAsia" w:ascii="仿宋_GB2312" w:hAnsi="??" w:eastAsia="仿宋_GB2312"/>
          <w:sz w:val="32"/>
          <w:szCs w:val="32"/>
        </w:rPr>
        <w:t>辆、大中型载客汽车</w:t>
      </w:r>
      <w:r>
        <w:rPr>
          <w:rFonts w:ascii="仿宋_GB2312" w:hAnsi="??" w:eastAsia="仿宋_GB2312"/>
          <w:sz w:val="32"/>
          <w:szCs w:val="32"/>
        </w:rPr>
        <w:t>0</w:t>
      </w:r>
      <w:r>
        <w:rPr>
          <w:rFonts w:hint="eastAsia" w:ascii="仿宋_GB2312" w:hAnsi="??" w:eastAsia="仿宋_GB2312"/>
          <w:sz w:val="32"/>
          <w:szCs w:val="32"/>
        </w:rPr>
        <w:t>辆、其他车型</w:t>
      </w:r>
      <w:r>
        <w:rPr>
          <w:rFonts w:ascii="仿宋_GB2312" w:hAnsi="??" w:eastAsia="仿宋_GB2312"/>
          <w:sz w:val="32"/>
          <w:szCs w:val="32"/>
        </w:rPr>
        <w:t>23</w:t>
      </w:r>
      <w:r>
        <w:rPr>
          <w:rFonts w:hint="eastAsia" w:ascii="仿宋_GB2312" w:hAnsi="??" w:eastAsia="仿宋_GB2312"/>
          <w:sz w:val="32"/>
          <w:szCs w:val="32"/>
        </w:rPr>
        <w:t>辆，其他车型主要是高空作业车、路灯巡查车；从车辆使用情况说明：副部（省）级及以上领导用车</w:t>
      </w:r>
      <w:r>
        <w:rPr>
          <w:rFonts w:ascii="仿宋_GB2312" w:hAnsi="??" w:eastAsia="仿宋_GB2312"/>
          <w:sz w:val="32"/>
          <w:szCs w:val="32"/>
        </w:rPr>
        <w:t>0</w:t>
      </w:r>
      <w:r>
        <w:rPr>
          <w:rFonts w:hint="eastAsia" w:ascii="仿宋_GB2312" w:hAnsi="??" w:eastAsia="仿宋_GB2312"/>
          <w:sz w:val="32"/>
          <w:szCs w:val="32"/>
        </w:rPr>
        <w:t>辆、主要领导干部用车</w:t>
      </w:r>
      <w:r>
        <w:rPr>
          <w:rFonts w:ascii="仿宋_GB2312" w:hAnsi="??" w:eastAsia="仿宋_GB2312"/>
          <w:sz w:val="32"/>
          <w:szCs w:val="32"/>
        </w:rPr>
        <w:t>0</w:t>
      </w:r>
      <w:r>
        <w:rPr>
          <w:rFonts w:hint="eastAsia" w:ascii="仿宋_GB2312" w:hAnsi="??" w:eastAsia="仿宋_GB2312"/>
          <w:sz w:val="32"/>
          <w:szCs w:val="32"/>
        </w:rPr>
        <w:t>辆、机要通信用车</w:t>
      </w:r>
      <w:r>
        <w:rPr>
          <w:rFonts w:ascii="仿宋_GB2312" w:hAnsi="??" w:eastAsia="仿宋_GB2312"/>
          <w:sz w:val="32"/>
          <w:szCs w:val="32"/>
        </w:rPr>
        <w:t>0</w:t>
      </w:r>
      <w:r>
        <w:rPr>
          <w:rFonts w:hint="eastAsia" w:ascii="仿宋_GB2312" w:hAnsi="??" w:eastAsia="仿宋_GB2312"/>
          <w:sz w:val="32"/>
          <w:szCs w:val="32"/>
        </w:rPr>
        <w:t>辆、应急保障用车</w:t>
      </w:r>
      <w:r>
        <w:rPr>
          <w:rFonts w:ascii="仿宋_GB2312" w:hAnsi="??" w:eastAsia="仿宋_GB2312"/>
          <w:sz w:val="32"/>
          <w:szCs w:val="32"/>
        </w:rPr>
        <w:t>0</w:t>
      </w:r>
      <w:r>
        <w:rPr>
          <w:rFonts w:hint="eastAsia" w:ascii="仿宋_GB2312" w:hAnsi="??" w:eastAsia="仿宋_GB2312"/>
          <w:sz w:val="32"/>
          <w:szCs w:val="32"/>
        </w:rPr>
        <w:t>辆、执法执勤用车</w:t>
      </w:r>
      <w:r>
        <w:rPr>
          <w:rFonts w:ascii="仿宋_GB2312" w:hAnsi="??" w:eastAsia="仿宋_GB2312"/>
          <w:sz w:val="32"/>
          <w:szCs w:val="32"/>
        </w:rPr>
        <w:t>0</w:t>
      </w:r>
      <w:r>
        <w:rPr>
          <w:rFonts w:hint="eastAsia" w:ascii="仿宋_GB2312" w:hAnsi="??" w:eastAsia="仿宋_GB2312"/>
          <w:sz w:val="32"/>
          <w:szCs w:val="32"/>
        </w:rPr>
        <w:t>辆、特种专业技术用车</w:t>
      </w:r>
      <w:r>
        <w:rPr>
          <w:rFonts w:ascii="仿宋_GB2312" w:hAnsi="??" w:eastAsia="仿宋_GB2312"/>
          <w:sz w:val="32"/>
          <w:szCs w:val="32"/>
        </w:rPr>
        <w:t>0</w:t>
      </w:r>
      <w:r>
        <w:rPr>
          <w:rFonts w:hint="eastAsia" w:ascii="仿宋_GB2312" w:hAnsi="??" w:eastAsia="仿宋_GB2312"/>
          <w:sz w:val="32"/>
          <w:szCs w:val="32"/>
        </w:rPr>
        <w:t>辆、离退休干部用车</w:t>
      </w:r>
      <w:r>
        <w:rPr>
          <w:rFonts w:ascii="仿宋_GB2312" w:hAnsi="??" w:eastAsia="仿宋_GB2312"/>
          <w:sz w:val="32"/>
          <w:szCs w:val="32"/>
        </w:rPr>
        <w:t>0</w:t>
      </w:r>
      <w:r>
        <w:rPr>
          <w:rFonts w:hint="eastAsia" w:ascii="仿宋_GB2312" w:hAnsi="??" w:eastAsia="仿宋_GB2312"/>
          <w:sz w:val="32"/>
          <w:szCs w:val="32"/>
        </w:rPr>
        <w:t>辆、其他用车</w:t>
      </w:r>
      <w:r>
        <w:rPr>
          <w:rFonts w:ascii="仿宋_GB2312" w:hAnsi="??" w:eastAsia="仿宋_GB2312"/>
          <w:sz w:val="32"/>
          <w:szCs w:val="32"/>
        </w:rPr>
        <w:t>0</w:t>
      </w:r>
      <w:r>
        <w:rPr>
          <w:rFonts w:hint="eastAsia" w:ascii="仿宋_GB2312" w:hAnsi="??" w:eastAsia="仿宋_GB2312"/>
          <w:sz w:val="32"/>
          <w:szCs w:val="32"/>
        </w:rPr>
        <w:t>辆。</w:t>
      </w:r>
    </w:p>
    <w:p>
      <w:pPr>
        <w:spacing w:line="578" w:lineRule="exact"/>
        <w:ind w:firstLine="31680" w:firstLineChars="200"/>
        <w:rPr>
          <w:rFonts w:ascii="仿宋_GB2312" w:hAnsi="??" w:eastAsia="仿宋_GB2312"/>
          <w:sz w:val="32"/>
          <w:szCs w:val="32"/>
        </w:rPr>
      </w:pPr>
      <w:r>
        <w:rPr>
          <w:rFonts w:hint="eastAsia" w:ascii="仿宋_GB2312" w:hAnsi="??" w:eastAsia="仿宋_GB2312"/>
          <w:sz w:val="32"/>
          <w:szCs w:val="32"/>
        </w:rPr>
        <w:t>单位价值</w:t>
      </w:r>
      <w:r>
        <w:rPr>
          <w:rFonts w:ascii="仿宋_GB2312" w:hAnsi="??" w:eastAsia="仿宋_GB2312"/>
          <w:sz w:val="32"/>
          <w:szCs w:val="32"/>
        </w:rPr>
        <w:t>50</w:t>
      </w:r>
      <w:r>
        <w:rPr>
          <w:rFonts w:hint="eastAsia" w:ascii="仿宋_GB2312" w:hAnsi="??" w:eastAsia="仿宋_GB2312"/>
          <w:sz w:val="32"/>
          <w:szCs w:val="32"/>
        </w:rPr>
        <w:t>万元（含）以上通用设备</w:t>
      </w:r>
      <w:r>
        <w:rPr>
          <w:rFonts w:ascii="仿宋_GB2312" w:hAnsi="??" w:eastAsia="仿宋_GB2312"/>
          <w:sz w:val="32"/>
          <w:szCs w:val="32"/>
        </w:rPr>
        <w:t>0</w:t>
      </w:r>
      <w:r>
        <w:rPr>
          <w:rFonts w:hint="eastAsia" w:ascii="仿宋_GB2312" w:hAnsi="??" w:eastAsia="仿宋_GB2312"/>
          <w:sz w:val="32"/>
          <w:szCs w:val="32"/>
        </w:rPr>
        <w:t>台（套），单价</w:t>
      </w:r>
      <w:r>
        <w:rPr>
          <w:rFonts w:ascii="仿宋_GB2312" w:hAnsi="??" w:eastAsia="仿宋_GB2312"/>
          <w:sz w:val="32"/>
          <w:szCs w:val="32"/>
        </w:rPr>
        <w:t>100</w:t>
      </w:r>
      <w:r>
        <w:rPr>
          <w:rFonts w:hint="eastAsia" w:ascii="仿宋_GB2312" w:hAnsi="??" w:eastAsia="仿宋_GB2312"/>
          <w:sz w:val="32"/>
          <w:szCs w:val="32"/>
        </w:rPr>
        <w:t>万元（含）以上专用设备</w:t>
      </w:r>
      <w:r>
        <w:rPr>
          <w:rFonts w:ascii="仿宋_GB2312" w:hAnsi="??" w:eastAsia="仿宋_GB2312"/>
          <w:sz w:val="32"/>
          <w:szCs w:val="32"/>
        </w:rPr>
        <w:t>0</w:t>
      </w:r>
      <w:r>
        <w:rPr>
          <w:rFonts w:hint="eastAsia" w:ascii="仿宋_GB2312" w:hAnsi="??" w:eastAsia="仿宋_GB2312"/>
          <w:sz w:val="32"/>
          <w:szCs w:val="32"/>
        </w:rPr>
        <w:t>台（套）。</w:t>
      </w:r>
    </w:p>
    <w:p>
      <w:pPr>
        <w:spacing w:line="578" w:lineRule="exact"/>
        <w:ind w:firstLine="31680" w:firstLineChars="200"/>
        <w:rPr>
          <w:rFonts w:ascii="仿宋_GB2312" w:hAnsi="??" w:eastAsia="仿宋_GB2312"/>
          <w:sz w:val="32"/>
          <w:szCs w:val="32"/>
        </w:rPr>
      </w:pPr>
      <w:r>
        <w:rPr>
          <w:rFonts w:hint="eastAsia" w:ascii="仿宋_GB2312" w:hAnsi="??" w:eastAsia="仿宋_GB2312"/>
          <w:sz w:val="32"/>
          <w:szCs w:val="32"/>
        </w:rPr>
        <w:t>年末在建工程</w:t>
      </w:r>
      <w:r>
        <w:rPr>
          <w:rFonts w:ascii="仿宋_GB2312" w:hAnsi="??" w:eastAsia="仿宋_GB2312"/>
          <w:sz w:val="32"/>
          <w:szCs w:val="32"/>
        </w:rPr>
        <w:t>0</w:t>
      </w:r>
      <w:r>
        <w:rPr>
          <w:rFonts w:hint="eastAsia" w:ascii="仿宋_GB2312" w:hAnsi="??" w:eastAsia="仿宋_GB2312"/>
          <w:sz w:val="32"/>
          <w:szCs w:val="32"/>
        </w:rPr>
        <w:t>万元。</w:t>
      </w:r>
    </w:p>
    <w:p>
      <w:pPr>
        <w:spacing w:line="578" w:lineRule="exact"/>
        <w:rPr>
          <w:rFonts w:hint="eastAsia" w:ascii="仿宋_GB2312" w:hAnsi="ˎ̥" w:eastAsia="仿宋_GB2312"/>
          <w:sz w:val="32"/>
          <w:szCs w:val="32"/>
          <w:lang w:val="en-US" w:eastAsia="zh-CN"/>
        </w:rPr>
      </w:pPr>
    </w:p>
    <w:p>
      <w:pPr>
        <w:spacing w:line="578" w:lineRule="exact"/>
        <w:ind w:firstLine="640" w:firstLineChars="200"/>
        <w:rPr>
          <w:rFonts w:hint="eastAsia" w:ascii="仿宋_GB2312" w:hAnsi="ˎ̥" w:eastAsia="仿宋_GB2312"/>
          <w:sz w:val="32"/>
          <w:szCs w:val="32"/>
          <w:lang w:val="en-US" w:eastAsia="zh-CN"/>
        </w:rPr>
      </w:pPr>
    </w:p>
    <w:p>
      <w:pPr>
        <w:jc w:val="center"/>
        <w:rPr>
          <w:rFonts w:hint="eastAsia" w:ascii="黑体" w:hAnsi="ˎ̥" w:eastAsia="黑体"/>
          <w:sz w:val="32"/>
          <w:szCs w:val="32"/>
        </w:rPr>
      </w:pPr>
      <w:bookmarkStart w:id="113" w:name="_Toc8874_WPSOffice_Level1"/>
      <w:bookmarkStart w:id="114" w:name="_Toc15425_WPSOffice_Level1"/>
      <w:bookmarkStart w:id="115" w:name="_Toc17580_WPSOffice_Level1"/>
      <w:bookmarkStart w:id="116" w:name="_Toc4398_WPSOffice_Level1"/>
      <w:bookmarkStart w:id="117" w:name="_Toc11039_WPSOffice_Level1"/>
      <w:bookmarkStart w:id="118" w:name="_Toc8808_WPSOffice_Level1"/>
      <w:r>
        <w:rPr>
          <w:rFonts w:hint="eastAsia" w:ascii="黑体" w:hAnsi="ˎ̥" w:eastAsia="黑体"/>
          <w:sz w:val="32"/>
          <w:szCs w:val="32"/>
          <w:lang w:eastAsia="zh-CN"/>
        </w:rPr>
        <w:t>第四部分</w:t>
      </w:r>
      <w:r>
        <w:rPr>
          <w:rFonts w:hint="eastAsia" w:ascii="黑体" w:hAnsi="ˎ̥" w:eastAsia="黑体"/>
          <w:sz w:val="32"/>
          <w:szCs w:val="32"/>
          <w:lang w:val="en-US" w:eastAsia="zh-CN"/>
        </w:rPr>
        <w:t xml:space="preserve">  </w:t>
      </w:r>
      <w:r>
        <w:rPr>
          <w:rFonts w:hint="eastAsia" w:ascii="黑体" w:hAnsi="ˎ̥" w:eastAsia="黑体"/>
          <w:sz w:val="32"/>
          <w:szCs w:val="32"/>
        </w:rPr>
        <w:t>名词解释</w:t>
      </w:r>
      <w:bookmarkEnd w:id="113"/>
      <w:bookmarkEnd w:id="114"/>
      <w:bookmarkEnd w:id="115"/>
      <w:bookmarkEnd w:id="116"/>
      <w:bookmarkEnd w:id="117"/>
      <w:bookmarkEnd w:id="118"/>
    </w:p>
    <w:p>
      <w:pPr>
        <w:jc w:val="center"/>
        <w:rPr>
          <w:rFonts w:hint="eastAsia" w:ascii="黑体" w:hAnsi="ˎ̥" w:eastAsia="黑体"/>
          <w:sz w:val="32"/>
          <w:szCs w:val="32"/>
        </w:rPr>
      </w:pPr>
    </w:p>
    <w:p>
      <w:pPr>
        <w:numPr>
          <w:ilvl w:val="0"/>
          <w:numId w:val="5"/>
        </w:numPr>
        <w:ind w:firstLine="640" w:firstLineChars="200"/>
        <w:rPr>
          <w:rFonts w:hint="eastAsia" w:ascii="仿宋_GB2312" w:hAnsi="ˎ̥" w:eastAsia="仿宋_GB2312"/>
          <w:sz w:val="32"/>
          <w:szCs w:val="32"/>
        </w:rPr>
      </w:pPr>
      <w:r>
        <w:rPr>
          <w:rFonts w:hint="eastAsia" w:ascii="仿宋_GB2312" w:hAnsi="ˎ̥" w:eastAsia="仿宋_GB2312"/>
          <w:sz w:val="32"/>
          <w:szCs w:val="32"/>
        </w:rPr>
        <w:t>财政拨款收入：指</w:t>
      </w:r>
      <w:r>
        <w:rPr>
          <w:rFonts w:hint="eastAsia" w:ascii="仿宋_GB2312" w:hAnsi="ˎ̥" w:eastAsia="仿宋_GB2312"/>
          <w:sz w:val="32"/>
          <w:szCs w:val="32"/>
          <w:lang w:eastAsia="zh-CN"/>
        </w:rPr>
        <w:t>同</w:t>
      </w:r>
      <w:r>
        <w:rPr>
          <w:rFonts w:hint="eastAsia" w:ascii="仿宋_GB2312" w:hAnsi="ˎ̥" w:eastAsia="仿宋_GB2312"/>
          <w:sz w:val="32"/>
          <w:szCs w:val="32"/>
        </w:rPr>
        <w:t>级</w:t>
      </w:r>
      <w:r>
        <w:rPr>
          <w:rFonts w:hint="eastAsia" w:ascii="仿宋_GB2312" w:hAnsi="ˎ̥" w:eastAsia="仿宋_GB2312"/>
          <w:sz w:val="32"/>
          <w:szCs w:val="32"/>
          <w:lang w:eastAsia="zh-CN"/>
        </w:rPr>
        <w:t>政府财政部门</w:t>
      </w:r>
      <w:r>
        <w:rPr>
          <w:rFonts w:hint="eastAsia" w:ascii="仿宋_GB2312" w:hAnsi="ˎ̥" w:eastAsia="仿宋_GB2312"/>
          <w:sz w:val="32"/>
          <w:szCs w:val="32"/>
        </w:rPr>
        <w:t>当年拨付的</w:t>
      </w:r>
      <w:r>
        <w:rPr>
          <w:rFonts w:hint="eastAsia" w:ascii="仿宋_GB2312" w:hAnsi="ˎ̥" w:eastAsia="仿宋_GB2312"/>
          <w:sz w:val="32"/>
          <w:szCs w:val="32"/>
          <w:lang w:eastAsia="zh-CN"/>
        </w:rPr>
        <w:t>各类财政拨款</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二、上级补助收入：指事业单位从主管部门和上级单位取得的非财政补助收入。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三、</w:t>
      </w:r>
      <w:r>
        <w:rPr>
          <w:rFonts w:hint="eastAsia" w:ascii="仿宋_GB2312" w:hAnsi="ˎ̥" w:eastAsia="仿宋_GB2312"/>
          <w:sz w:val="32"/>
          <w:szCs w:val="32"/>
        </w:rPr>
        <w:t>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四、</w:t>
      </w:r>
      <w:r>
        <w:rPr>
          <w:rFonts w:hint="eastAsia" w:ascii="仿宋_GB2312" w:hAnsi="ˎ̥" w:eastAsia="仿宋_GB2312"/>
          <w:sz w:val="32"/>
          <w:szCs w:val="32"/>
        </w:rPr>
        <w:t>经营收入：指事业单位在专业业务活动及其辅助活动之外开展非独立核算经营活动取得的收入。</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五、附属单位上缴收入：指事业单位取得附属独立核算单位根据有关规定上缴的收入。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六、</w:t>
      </w:r>
      <w:r>
        <w:rPr>
          <w:rFonts w:hint="eastAsia" w:ascii="仿宋_GB2312" w:hAnsi="ˎ̥" w:eastAsia="仿宋_GB2312"/>
          <w:sz w:val="32"/>
          <w:szCs w:val="32"/>
        </w:rPr>
        <w:t>其他收入：指除上述“财政拨款收入”“事业收入”</w:t>
      </w:r>
      <w:r>
        <w:rPr>
          <w:rFonts w:hint="eastAsia" w:ascii="仿宋_GB2312" w:hAnsi="ˎ̥" w:eastAsia="仿宋_GB2312"/>
          <w:sz w:val="32"/>
          <w:szCs w:val="32"/>
          <w:lang w:eastAsia="zh-CN"/>
        </w:rPr>
        <w:t>“上级补助收入”</w:t>
      </w:r>
      <w:r>
        <w:rPr>
          <w:rFonts w:hint="eastAsia" w:ascii="仿宋_GB2312" w:hAnsi="ˎ̥" w:eastAsia="仿宋_GB2312"/>
          <w:sz w:val="32"/>
          <w:szCs w:val="32"/>
        </w:rPr>
        <w:t>“经营收入”</w:t>
      </w:r>
      <w:r>
        <w:rPr>
          <w:rFonts w:hint="eastAsia" w:ascii="仿宋_GB2312" w:hAnsi="ˎ̥" w:eastAsia="仿宋_GB2312"/>
          <w:sz w:val="32"/>
          <w:szCs w:val="32"/>
          <w:lang w:eastAsia="zh-CN"/>
        </w:rPr>
        <w:t>“附属单位上缴收入”</w:t>
      </w:r>
      <w:r>
        <w:rPr>
          <w:rFonts w:hint="eastAsia" w:ascii="仿宋_GB2312" w:hAnsi="ˎ̥" w:eastAsia="仿宋_GB2312"/>
          <w:sz w:val="32"/>
          <w:szCs w:val="32"/>
        </w:rPr>
        <w:t>等以外的收入。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七、</w:t>
      </w:r>
      <w:r>
        <w:rPr>
          <w:rFonts w:hint="eastAsia" w:ascii="仿宋_GB2312" w:hAnsi="ˎ̥" w:eastAsia="仿宋_GB2312"/>
          <w:sz w:val="32"/>
          <w:szCs w:val="32"/>
          <w:highlight w:val="none"/>
          <w:lang w:eastAsia="zh-CN"/>
        </w:rPr>
        <w:t>使用非财政拨款结余</w:t>
      </w:r>
      <w:r>
        <w:rPr>
          <w:rFonts w:hint="eastAsia" w:ascii="仿宋_GB2312" w:hAnsi="ˎ̥" w:eastAsia="仿宋_GB2312"/>
          <w:sz w:val="32"/>
          <w:szCs w:val="32"/>
          <w:highlight w:val="none"/>
        </w:rPr>
        <w:t>：指事业单位在当年的“财政拨款收入”“事业收入”“经营收入”“其他收入”</w:t>
      </w:r>
      <w:r>
        <w:rPr>
          <w:rFonts w:hint="eastAsia" w:ascii="仿宋_GB2312" w:hAnsi="ˎ̥" w:eastAsia="仿宋_GB2312"/>
          <w:sz w:val="32"/>
          <w:szCs w:val="32"/>
          <w:highlight w:val="none"/>
          <w:lang w:eastAsia="zh-CN"/>
        </w:rPr>
        <w:t>等</w:t>
      </w:r>
      <w:r>
        <w:rPr>
          <w:rFonts w:hint="eastAsia" w:ascii="仿宋_GB2312" w:hAnsi="ˎ̥" w:eastAsia="仿宋_GB2312"/>
          <w:sz w:val="32"/>
          <w:szCs w:val="32"/>
          <w:highlight w:val="none"/>
        </w:rPr>
        <w:t>不足以安排当年支出的情况下，使</w:t>
      </w:r>
      <w:r>
        <w:rPr>
          <w:rFonts w:hint="eastAsia" w:ascii="仿宋_GB2312" w:hAnsi="ˎ̥" w:eastAsia="仿宋_GB2312"/>
          <w:sz w:val="32"/>
          <w:szCs w:val="32"/>
        </w:rPr>
        <w:t>用以前年度积累的</w:t>
      </w:r>
      <w:r>
        <w:rPr>
          <w:rFonts w:hint="eastAsia" w:ascii="仿宋_GB2312" w:hAnsi="ˎ̥" w:eastAsia="仿宋_GB2312"/>
          <w:sz w:val="32"/>
          <w:szCs w:val="32"/>
          <w:lang w:eastAsia="zh-CN"/>
        </w:rPr>
        <w:t>非限定用途的非同级财政拨款结余资金弥补本年度收支缺口。</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八、</w:t>
      </w:r>
      <w:r>
        <w:rPr>
          <w:rFonts w:hint="eastAsia" w:ascii="仿宋_GB2312" w:hAnsi="ˎ̥" w:eastAsia="仿宋_GB2312"/>
          <w:sz w:val="32"/>
          <w:szCs w:val="32"/>
        </w:rPr>
        <w:t>年初结转和结余：指以前年度尚未完成、结转到本年按有关规定继续使用的资金。</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highlight w:val="none"/>
          <w:lang w:eastAsia="zh-CN"/>
        </w:rPr>
        <w:t>九、</w:t>
      </w:r>
      <w:r>
        <w:rPr>
          <w:rFonts w:hint="eastAsia" w:ascii="仿宋_GB2312" w:hAnsi="ˎ̥" w:eastAsia="仿宋_GB2312"/>
          <w:sz w:val="32"/>
          <w:szCs w:val="32"/>
          <w:highlight w:val="none"/>
        </w:rPr>
        <w:t>结余分配：指</w:t>
      </w:r>
      <w:r>
        <w:rPr>
          <w:rFonts w:hint="eastAsia" w:ascii="仿宋_GB2312" w:hAnsi="ˎ̥" w:eastAsia="仿宋_GB2312"/>
          <w:sz w:val="32"/>
          <w:szCs w:val="32"/>
          <w:highlight w:val="none"/>
          <w:lang w:eastAsia="zh-CN"/>
        </w:rPr>
        <w:t>事业</w:t>
      </w:r>
      <w:r>
        <w:rPr>
          <w:rFonts w:hint="eastAsia" w:ascii="仿宋_GB2312" w:hAnsi="ˎ̥" w:eastAsia="仿宋_GB2312" w:cs="Times New Roman"/>
          <w:sz w:val="32"/>
          <w:szCs w:val="32"/>
          <w:lang w:eastAsia="zh-CN"/>
        </w:rPr>
        <w:t>单位缴纳企业所得税以及从非财政拨款结余或经营结余中提取各类结余的情况。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十、</w:t>
      </w:r>
      <w:r>
        <w:rPr>
          <w:rFonts w:hint="eastAsia" w:ascii="仿宋_GB2312" w:hAnsi="ˎ̥" w:eastAsia="仿宋_GB2312"/>
          <w:sz w:val="32"/>
          <w:szCs w:val="32"/>
        </w:rPr>
        <w:t>年末结转和结余：指本年度或以前年度预算安排、因客观条件发生变化无法按原计划实施，需要延迟到以后年度按有关规定继续使用的资金</w:t>
      </w:r>
      <w:r>
        <w:rPr>
          <w:rFonts w:hint="eastAsia" w:ascii="仿宋_GB2312" w:hAnsi="ˎ̥" w:eastAsia="仿宋_GB2312"/>
          <w:sz w:val="32"/>
          <w:szCs w:val="32"/>
          <w:lang w:eastAsia="zh-CN"/>
        </w:rPr>
        <w:t>（</w:t>
      </w:r>
      <w:r>
        <w:rPr>
          <w:rFonts w:hint="eastAsia" w:ascii="仿宋_GB2312" w:hAnsi="ˎ̥" w:eastAsia="仿宋_GB2312" w:cs="Times New Roman"/>
          <w:sz w:val="32"/>
          <w:szCs w:val="32"/>
          <w:lang w:eastAsia="zh-CN"/>
        </w:rPr>
        <w:t>不包括事业单位非财政拨款结余和专用结余</w:t>
      </w:r>
      <w:r>
        <w:rPr>
          <w:rFonts w:hint="eastAsia" w:ascii="仿宋_GB2312" w:hAnsi="ˎ̥" w:eastAsia="仿宋_GB2312"/>
          <w:sz w:val="32"/>
          <w:szCs w:val="32"/>
          <w:lang w:eastAsia="zh-CN"/>
        </w:rPr>
        <w:t>）</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十一、</w:t>
      </w:r>
      <w:r>
        <w:rPr>
          <w:rFonts w:hint="eastAsia" w:ascii="仿宋_GB2312" w:hAnsi="ˎ̥" w:eastAsia="仿宋_GB2312"/>
          <w:sz w:val="32"/>
          <w:szCs w:val="32"/>
        </w:rPr>
        <w:t>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二、</w:t>
      </w:r>
      <w:r>
        <w:rPr>
          <w:rFonts w:hint="eastAsia" w:ascii="仿宋_GB2312" w:hAnsi="ˎ̥" w:eastAsia="仿宋_GB2312"/>
          <w:sz w:val="32"/>
          <w:szCs w:val="32"/>
        </w:rPr>
        <w:t>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三、</w:t>
      </w:r>
      <w:r>
        <w:rPr>
          <w:rFonts w:hint="eastAsia" w:ascii="仿宋_GB2312" w:hAnsi="ˎ̥" w:eastAsia="仿宋_GB2312"/>
          <w:sz w:val="32"/>
          <w:szCs w:val="32"/>
        </w:rPr>
        <w:t>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四、</w:t>
      </w:r>
      <w:r>
        <w:rPr>
          <w:rFonts w:hint="eastAsia" w:ascii="仿宋_GB2312" w:hAnsi="ˎ̥" w:eastAsia="仿宋_GB2312"/>
          <w:sz w:val="32"/>
          <w:szCs w:val="32"/>
        </w:rPr>
        <w:t>“三公”经费：纳入本级财政预决算管理的“三公”经费，是指用一般公共预算财政财政拨款</w:t>
      </w:r>
      <w:r>
        <w:rPr>
          <w:rFonts w:hint="eastAsia" w:ascii="仿宋_GB2312" w:hAnsi="ˎ̥" w:eastAsia="仿宋_GB2312"/>
          <w:sz w:val="32"/>
          <w:szCs w:val="32"/>
          <w:lang w:eastAsia="zh-CN"/>
        </w:rPr>
        <w:t>、政府性基金</w:t>
      </w:r>
      <w:r>
        <w:rPr>
          <w:rFonts w:hint="eastAsia" w:ascii="仿宋_GB2312" w:hAnsi="ˎ̥" w:eastAsia="仿宋_GB2312" w:cs="Times New Roman"/>
          <w:b w:val="0"/>
          <w:bCs w:val="0"/>
          <w:sz w:val="32"/>
          <w:szCs w:val="32"/>
        </w:rPr>
        <w:t>预算财政拨款</w:t>
      </w:r>
      <w:r>
        <w:rPr>
          <w:rFonts w:hint="eastAsia" w:ascii="仿宋_GB2312" w:hAnsi="ˎ̥" w:eastAsia="仿宋_GB2312" w:cs="Times New Roman"/>
          <w:b w:val="0"/>
          <w:bCs w:val="0"/>
          <w:sz w:val="32"/>
          <w:szCs w:val="32"/>
          <w:lang w:eastAsia="zh-CN"/>
        </w:rPr>
        <w:t>及国有资本经营预算财政拨款</w:t>
      </w:r>
      <w:r>
        <w:rPr>
          <w:rFonts w:hint="eastAsia" w:ascii="仿宋_GB2312" w:hAnsi="ˎ̥" w:eastAsia="仿宋_GB2312"/>
          <w:sz w:val="32"/>
          <w:szCs w:val="32"/>
        </w:rPr>
        <w:t>安排的因公出国（境）费、公务用车购置及运行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费和公务接待费。其中，因公出国（境）费反映单位公务出国（境）的国际旅费、国外城市间交通费、住宿费、伙食费、培训费、公杂费等支出；公务用车购置及运行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费反映单位公务用车车辆购置支出（含车辆购置税</w:t>
      </w:r>
      <w:r>
        <w:rPr>
          <w:rFonts w:hint="eastAsia" w:ascii="仿宋_GB2312" w:hAnsi="ˎ̥" w:eastAsia="仿宋_GB2312"/>
          <w:sz w:val="32"/>
          <w:szCs w:val="32"/>
          <w:lang w:eastAsia="zh-CN"/>
        </w:rPr>
        <w:t>、牌照费</w:t>
      </w:r>
      <w:r>
        <w:rPr>
          <w:rFonts w:hint="eastAsia" w:ascii="仿宋_GB2312" w:hAnsi="ˎ̥" w:eastAsia="仿宋_GB2312"/>
          <w:sz w:val="32"/>
          <w:szCs w:val="32"/>
        </w:rPr>
        <w:t>）及燃料费、维修费、过路过桥费、保险费、安全奖励费用等支出；公务接待费反映单位按规定开支的各类公务接待（含外宾接待）</w:t>
      </w:r>
      <w:r>
        <w:rPr>
          <w:rFonts w:hint="eastAsia" w:ascii="仿宋_GB2312" w:hAnsi="ˎ̥" w:eastAsia="仿宋_GB2312"/>
          <w:sz w:val="32"/>
          <w:szCs w:val="32"/>
          <w:lang w:eastAsia="zh-CN"/>
        </w:rPr>
        <w:t>费用</w:t>
      </w:r>
      <w:r>
        <w:rPr>
          <w:rFonts w:hint="eastAsia" w:ascii="仿宋_GB2312" w:hAnsi="ˎ̥" w:eastAsia="仿宋_GB2312"/>
          <w:sz w:val="32"/>
          <w:szCs w:val="32"/>
        </w:rPr>
        <w:t>。</w:t>
      </w:r>
    </w:p>
    <w:p>
      <w:pPr>
        <w:ind w:firstLine="645"/>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五</w:t>
      </w:r>
      <w:r>
        <w:rPr>
          <w:rFonts w:hint="eastAsia" w:ascii="仿宋_GB2312" w:hAnsi="ˎ̥" w:eastAsia="仿宋_GB2312"/>
          <w:sz w:val="32"/>
          <w:szCs w:val="32"/>
          <w:lang w:val="en-US" w:eastAsia="zh-CN"/>
        </w:rPr>
        <w:t>、</w:t>
      </w:r>
      <w:r>
        <w:rPr>
          <w:rFonts w:hint="eastAsia" w:ascii="仿宋_GB2312" w:hAnsi="ˎ̥" w:eastAsia="仿宋_GB2312"/>
          <w:sz w:val="32"/>
          <w:szCs w:val="32"/>
        </w:rPr>
        <w:t>机关运行经费：为保障行政单位（含参照公务员法管理的事业单位）运行</w:t>
      </w:r>
      <w:r>
        <w:rPr>
          <w:rFonts w:hint="eastAsia" w:ascii="仿宋_GB2312" w:hAnsi="ˎ̥" w:eastAsia="仿宋_GB2312"/>
          <w:sz w:val="32"/>
          <w:szCs w:val="32"/>
          <w:lang w:eastAsia="zh-CN"/>
        </w:rPr>
        <w:t>使用</w:t>
      </w:r>
      <w:r>
        <w:rPr>
          <w:rFonts w:hint="eastAsia" w:ascii="仿宋_GB2312" w:hAnsi="ˎ̥" w:eastAsia="仿宋_GB2312" w:cs="Times New Roman"/>
          <w:sz w:val="32"/>
          <w:szCs w:val="32"/>
          <w:lang w:eastAsia="zh-CN"/>
        </w:rPr>
        <w:t>一般公共预算财政拨款安排的基本支出经费</w:t>
      </w:r>
      <w:r>
        <w:rPr>
          <w:rFonts w:hint="eastAsia" w:ascii="仿宋_GB2312" w:hAnsi="ˎ̥" w:eastAsia="仿宋_GB2312"/>
          <w:sz w:val="32"/>
          <w:szCs w:val="32"/>
        </w:rPr>
        <w:t>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hAnsi="ˎ̥" w:eastAsia="仿宋_GB2312"/>
          <w:sz w:val="32"/>
          <w:szCs w:val="32"/>
          <w:lang w:eastAsia="zh-CN"/>
        </w:rPr>
        <w:t>等</w:t>
      </w:r>
      <w:r>
        <w:rPr>
          <w:rFonts w:hint="eastAsia" w:ascii="仿宋_GB2312" w:hAnsi="ˎ̥" w:eastAsia="仿宋_GB2312"/>
          <w:sz w:val="32"/>
          <w:szCs w:val="32"/>
        </w:rPr>
        <w:t>。</w:t>
      </w:r>
    </w:p>
    <w:p>
      <w:pPr>
        <w:ind w:firstLine="645"/>
        <w:rPr>
          <w:rFonts w:hint="eastAsia" w:ascii="仿宋_GB2312" w:hAnsi="ˎ̥" w:eastAsia="仿宋_GB2312"/>
          <w:sz w:val="32"/>
          <w:szCs w:val="32"/>
        </w:rPr>
      </w:pPr>
      <w:r>
        <w:rPr>
          <w:rFonts w:hint="eastAsia" w:ascii="仿宋_GB2312" w:hAnsi="ˎ̥" w:eastAsia="仿宋_GB2312"/>
          <w:sz w:val="32"/>
          <w:szCs w:val="32"/>
        </w:rPr>
        <w:t>（支出功能分类的名词解释，各部门（单位）根据实际支出情况填列</w:t>
      </w:r>
      <w:r>
        <w:rPr>
          <w:rFonts w:hint="eastAsia" w:ascii="仿宋_GB2312" w:hAnsi="ˎ̥" w:eastAsia="仿宋_GB2312"/>
          <w:sz w:val="32"/>
          <w:szCs w:val="32"/>
          <w:lang w:eastAsia="zh-CN"/>
        </w:rPr>
        <w:t>，可参阅财政部印发的《</w:t>
      </w:r>
      <w:r>
        <w:rPr>
          <w:rFonts w:hint="eastAsia" w:ascii="仿宋_GB2312" w:hAnsi="ˎ̥" w:eastAsia="仿宋_GB2312"/>
          <w:sz w:val="32"/>
          <w:szCs w:val="32"/>
          <w:lang w:val="en-US" w:eastAsia="zh-CN"/>
        </w:rPr>
        <w:t>2021年政府收支分类科目</w:t>
      </w:r>
      <w:r>
        <w:rPr>
          <w:rFonts w:hint="eastAsia" w:ascii="仿宋_GB2312" w:hAnsi="ˎ̥" w:eastAsia="仿宋_GB2312"/>
          <w:sz w:val="32"/>
          <w:szCs w:val="32"/>
          <w:lang w:eastAsia="zh-CN"/>
        </w:rPr>
        <w:t>》</w:t>
      </w:r>
      <w:r>
        <w:rPr>
          <w:rFonts w:hint="eastAsia" w:ascii="仿宋_GB2312" w:hAnsi="ˎ̥" w:eastAsia="仿宋_GB2312"/>
          <w:sz w:val="32"/>
          <w:szCs w:val="32"/>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微软简标宋">
    <w:altName w:val="宋体"/>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
    <w:altName w:val="Times New Roman"/>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604AD983"/>
    <w:multiLevelType w:val="singleLevel"/>
    <w:tmpl w:val="604AD983"/>
    <w:lvl w:ilvl="0" w:tentative="0">
      <w:start w:val="1"/>
      <w:numFmt w:val="chineseCounting"/>
      <w:suff w:val="nothing"/>
      <w:lvlText w:val="（%1）"/>
      <w:lvlJc w:val="left"/>
    </w:lvl>
  </w:abstractNum>
  <w:abstractNum w:abstractNumId="2">
    <w:nsid w:val="637598BE"/>
    <w:multiLevelType w:val="singleLevel"/>
    <w:tmpl w:val="637598BE"/>
    <w:lvl w:ilvl="0" w:tentative="0">
      <w:start w:val="1"/>
      <w:numFmt w:val="chineseCounting"/>
      <w:suff w:val="nothing"/>
      <w:lvlText w:val="%1、"/>
      <w:lvlJc w:val="left"/>
    </w:lvl>
  </w:abstractNum>
  <w:abstractNum w:abstractNumId="3">
    <w:nsid w:val="637736DE"/>
    <w:multiLevelType w:val="singleLevel"/>
    <w:tmpl w:val="637736DE"/>
    <w:lvl w:ilvl="0" w:tentative="0">
      <w:start w:val="3"/>
      <w:numFmt w:val="decimal"/>
      <w:suff w:val="nothing"/>
      <w:lvlText w:val="%1、"/>
      <w:lvlJc w:val="left"/>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36963"/>
    <w:rsid w:val="01357C26"/>
    <w:rsid w:val="01EF6FE1"/>
    <w:rsid w:val="0300482C"/>
    <w:rsid w:val="05B13092"/>
    <w:rsid w:val="06180DFD"/>
    <w:rsid w:val="07FF603E"/>
    <w:rsid w:val="085C0804"/>
    <w:rsid w:val="094B4EF6"/>
    <w:rsid w:val="097115A2"/>
    <w:rsid w:val="0AC40801"/>
    <w:rsid w:val="0EF210A3"/>
    <w:rsid w:val="0F0A737A"/>
    <w:rsid w:val="0FD4117F"/>
    <w:rsid w:val="11635CCD"/>
    <w:rsid w:val="12D32DD8"/>
    <w:rsid w:val="132C241E"/>
    <w:rsid w:val="14352EFD"/>
    <w:rsid w:val="15CF765C"/>
    <w:rsid w:val="1687659C"/>
    <w:rsid w:val="17D30EC8"/>
    <w:rsid w:val="1E3C29B5"/>
    <w:rsid w:val="1EED56DD"/>
    <w:rsid w:val="21720306"/>
    <w:rsid w:val="21A220A9"/>
    <w:rsid w:val="22053AFD"/>
    <w:rsid w:val="24AE1046"/>
    <w:rsid w:val="26425AB8"/>
    <w:rsid w:val="271026BC"/>
    <w:rsid w:val="29484F09"/>
    <w:rsid w:val="29E750F2"/>
    <w:rsid w:val="2A4E624E"/>
    <w:rsid w:val="2CD6016A"/>
    <w:rsid w:val="2E0D3966"/>
    <w:rsid w:val="31100157"/>
    <w:rsid w:val="311D4555"/>
    <w:rsid w:val="33150708"/>
    <w:rsid w:val="34E25F67"/>
    <w:rsid w:val="37BB577D"/>
    <w:rsid w:val="37C34AF0"/>
    <w:rsid w:val="3A6D3CAD"/>
    <w:rsid w:val="3A9558F8"/>
    <w:rsid w:val="3E3A23E4"/>
    <w:rsid w:val="3E3E3D4C"/>
    <w:rsid w:val="3E5D4DEE"/>
    <w:rsid w:val="3E6707F9"/>
    <w:rsid w:val="3F2A714E"/>
    <w:rsid w:val="41086D56"/>
    <w:rsid w:val="4155192A"/>
    <w:rsid w:val="41552E00"/>
    <w:rsid w:val="428A7A19"/>
    <w:rsid w:val="436B6EB0"/>
    <w:rsid w:val="43E72BBD"/>
    <w:rsid w:val="4421377B"/>
    <w:rsid w:val="4498595D"/>
    <w:rsid w:val="4606585D"/>
    <w:rsid w:val="46B32EF0"/>
    <w:rsid w:val="47090635"/>
    <w:rsid w:val="470C55B3"/>
    <w:rsid w:val="48420A1B"/>
    <w:rsid w:val="491254C2"/>
    <w:rsid w:val="49837F88"/>
    <w:rsid w:val="49C13EF6"/>
    <w:rsid w:val="4A4609A7"/>
    <w:rsid w:val="4AA13D5F"/>
    <w:rsid w:val="4ACE7B62"/>
    <w:rsid w:val="4B9A1F75"/>
    <w:rsid w:val="4C12372F"/>
    <w:rsid w:val="4CA57C1E"/>
    <w:rsid w:val="4E3A343B"/>
    <w:rsid w:val="50423307"/>
    <w:rsid w:val="509A5223"/>
    <w:rsid w:val="50BE0C32"/>
    <w:rsid w:val="51133DC9"/>
    <w:rsid w:val="511F08E8"/>
    <w:rsid w:val="558665AC"/>
    <w:rsid w:val="599A6CD8"/>
    <w:rsid w:val="5B8756BC"/>
    <w:rsid w:val="5CEC2F61"/>
    <w:rsid w:val="5E2A34E2"/>
    <w:rsid w:val="5FF73DDC"/>
    <w:rsid w:val="62030365"/>
    <w:rsid w:val="625425FD"/>
    <w:rsid w:val="62725D92"/>
    <w:rsid w:val="672A0302"/>
    <w:rsid w:val="67F720D2"/>
    <w:rsid w:val="69647020"/>
    <w:rsid w:val="6A5D18EF"/>
    <w:rsid w:val="6B8F2649"/>
    <w:rsid w:val="6BEF6E39"/>
    <w:rsid w:val="6D8C7AEB"/>
    <w:rsid w:val="70B8767D"/>
    <w:rsid w:val="70D90DBC"/>
    <w:rsid w:val="71116872"/>
    <w:rsid w:val="729C3541"/>
    <w:rsid w:val="72D22EF8"/>
    <w:rsid w:val="756E70A5"/>
    <w:rsid w:val="75EA29B2"/>
    <w:rsid w:val="76066335"/>
    <w:rsid w:val="77790213"/>
    <w:rsid w:val="79B705B1"/>
    <w:rsid w:val="79FD3BA7"/>
    <w:rsid w:val="7AF45DE8"/>
    <w:rsid w:val="7B236963"/>
    <w:rsid w:val="7B357164"/>
    <w:rsid w:val="7B485278"/>
    <w:rsid w:val="7BA9323B"/>
    <w:rsid w:val="7C654747"/>
    <w:rsid w:val="7EB42D06"/>
    <w:rsid w:val="7F03346A"/>
    <w:rsid w:val="7F3C4409"/>
    <w:rsid w:val="7F6163EA"/>
    <w:rsid w:val="7FC2564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link w:val="4"/>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4">
    <w:name w:val="正文1 Char Char Char"/>
    <w:basedOn w:val="1"/>
    <w:link w:val="3"/>
    <w:qFormat/>
    <w:uiPriority w:val="0"/>
    <w:pPr>
      <w:spacing w:line="360" w:lineRule="auto"/>
      <w:ind w:firstLine="200" w:firstLineChars="200"/>
    </w:pPr>
  </w:style>
  <w:style w:type="character" w:styleId="5">
    <w:name w:val="page number"/>
    <w:basedOn w:val="3"/>
    <w:qFormat/>
    <w:uiPriority w:val="0"/>
  </w:style>
  <w:style w:type="paragraph" w:customStyle="1" w:styleId="7">
    <w:name w:val="WPSOffice手动目录 1"/>
    <w:qFormat/>
    <w:uiPriority w:val="0"/>
    <w:pPr>
      <w:ind w:leftChars="0"/>
    </w:pPr>
    <w:rPr>
      <w:rFonts w:asciiTheme="minorHAnsi" w:hAnsiTheme="minorHAnsi" w:eastAsiaTheme="minorEastAsia" w:cstheme="minorBidi"/>
      <w:sz w:val="20"/>
      <w:szCs w:val="20"/>
    </w:rPr>
  </w:style>
  <w:style w:type="paragraph" w:customStyle="1" w:styleId="8">
    <w:name w:val="WPSOffice手动目录 2"/>
    <w:qFormat/>
    <w:uiPriority w:val="0"/>
    <w:pPr>
      <w:ind w:leftChars="200"/>
    </w:pPr>
    <w:rPr>
      <w:rFonts w:asciiTheme="minorHAnsi" w:hAnsiTheme="minorHAnsi" w:eastAsiaTheme="minorEastAsia" w:cstheme="minorBidi"/>
      <w:sz w:val="20"/>
      <w:szCs w:val="20"/>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2022-11-17T02:09:00Z</dcterms:created>
  <dc:creator>Administrator</dc:creator>
  <cp:lastModifiedBy>Administrator</cp:lastModifiedBy>
  <cp:lastPrinted>2022-11-19T10:12:00Z</cp:lastPrinted>
  <dcterms:modified xsi:type="dcterms:W3CDTF">2022-11-21T02:45:33Z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